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12E348D6" w14:textId="77777777" w:rsidR="008913BC" w:rsidRDefault="008913BC" w:rsidP="00FD45CD">
      <w:pPr>
        <w:tabs>
          <w:tab w:val="right" w:pos="9630"/>
        </w:tabs>
        <w:spacing w:after="0"/>
        <w:rPr>
          <w:rFonts w:ascii="Arial" w:hAnsi="Arial" w:cs="Arial"/>
          <w:b/>
          <w:sz w:val="24"/>
        </w:rPr>
      </w:pPr>
    </w:p>
    <w:p w14:paraId="5F95E010" w14:textId="35397B8D"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634EB2">
        <w:rPr>
          <w:rFonts w:ascii="Arial" w:hAnsi="Arial" w:cs="Arial"/>
          <w:b/>
          <w:sz w:val="24"/>
        </w:rPr>
        <w:t>9</w:t>
      </w:r>
      <w:r w:rsidR="008F43E8">
        <w:rPr>
          <w:rFonts w:ascii="Arial" w:hAnsi="Arial" w:cs="Arial"/>
          <w:b/>
          <w:sz w:val="24"/>
        </w:rPr>
        <w:t>1</w:t>
      </w:r>
      <w:r w:rsidRPr="00DA12F7">
        <w:rPr>
          <w:rFonts w:ascii="Arial" w:hAnsi="Arial" w:cs="Arial"/>
          <w:b/>
          <w:sz w:val="24"/>
        </w:rPr>
        <w:tab/>
      </w:r>
      <w:r w:rsidR="003873F7" w:rsidRPr="003873F7">
        <w:rPr>
          <w:rFonts w:ascii="Arial" w:hAnsi="Arial" w:cs="Arial"/>
          <w:b/>
          <w:sz w:val="24"/>
        </w:rPr>
        <w:t>R1-1720395</w:t>
      </w:r>
    </w:p>
    <w:p w14:paraId="13C19C48" w14:textId="1209A789" w:rsidR="00FD45CD" w:rsidRPr="00DA12F7" w:rsidRDefault="008F43E8" w:rsidP="00FD45CD">
      <w:pPr>
        <w:tabs>
          <w:tab w:val="right" w:pos="9630"/>
        </w:tabs>
        <w:spacing w:after="0"/>
        <w:rPr>
          <w:rFonts w:ascii="Arial" w:hAnsi="Arial" w:cs="Arial"/>
          <w:b/>
          <w:sz w:val="24"/>
          <w:szCs w:val="24"/>
        </w:rPr>
      </w:pPr>
      <w:r>
        <w:rPr>
          <w:rFonts w:ascii="Arial" w:hAnsi="Arial" w:cs="Arial"/>
          <w:b/>
          <w:sz w:val="24"/>
          <w:szCs w:val="24"/>
        </w:rPr>
        <w:t>Nov.</w:t>
      </w:r>
      <w:r w:rsidR="00C50DB9">
        <w:rPr>
          <w:rFonts w:ascii="Arial" w:hAnsi="Arial" w:cs="Arial"/>
          <w:b/>
          <w:sz w:val="24"/>
          <w:szCs w:val="24"/>
        </w:rPr>
        <w:t xml:space="preserve"> </w:t>
      </w:r>
      <w:r>
        <w:rPr>
          <w:rFonts w:ascii="Arial" w:hAnsi="Arial" w:cs="Arial"/>
          <w:b/>
          <w:sz w:val="24"/>
          <w:szCs w:val="24"/>
        </w:rPr>
        <w:t>27</w:t>
      </w:r>
      <w:r w:rsidR="00C50DB9" w:rsidRPr="00C50DB9">
        <w:rPr>
          <w:rFonts w:ascii="Arial" w:hAnsi="Arial" w:cs="Arial"/>
          <w:b/>
          <w:sz w:val="24"/>
          <w:szCs w:val="24"/>
          <w:vertAlign w:val="superscript"/>
        </w:rPr>
        <w:t>th</w:t>
      </w:r>
      <w:r w:rsidR="00C50DB9">
        <w:rPr>
          <w:rFonts w:ascii="Arial" w:hAnsi="Arial" w:cs="Arial"/>
          <w:b/>
          <w:sz w:val="24"/>
          <w:szCs w:val="24"/>
        </w:rPr>
        <w:t>-</w:t>
      </w:r>
      <w:r>
        <w:rPr>
          <w:rFonts w:ascii="Arial" w:hAnsi="Arial" w:cs="Arial"/>
          <w:b/>
          <w:sz w:val="24"/>
          <w:szCs w:val="24"/>
        </w:rPr>
        <w:t xml:space="preserve"> Dec. </w:t>
      </w:r>
      <w:r w:rsidR="00C50DB9">
        <w:rPr>
          <w:rFonts w:ascii="Arial" w:hAnsi="Arial" w:cs="Arial"/>
          <w:b/>
          <w:sz w:val="24"/>
          <w:szCs w:val="24"/>
        </w:rPr>
        <w:t>1</w:t>
      </w:r>
      <w:r w:rsidRPr="008F43E8">
        <w:rPr>
          <w:rFonts w:ascii="Arial" w:hAnsi="Arial" w:cs="Arial"/>
          <w:b/>
          <w:sz w:val="24"/>
          <w:szCs w:val="24"/>
          <w:vertAlign w:val="superscript"/>
        </w:rPr>
        <w:t>st</w:t>
      </w:r>
      <w:r w:rsidR="00FD45CD" w:rsidRPr="00DA12F7">
        <w:rPr>
          <w:rFonts w:ascii="Arial" w:hAnsi="Arial" w:cs="Arial"/>
          <w:b/>
          <w:sz w:val="24"/>
          <w:szCs w:val="24"/>
        </w:rPr>
        <w:t>, 201</w:t>
      </w:r>
      <w:r w:rsidR="00806F1F">
        <w:rPr>
          <w:rFonts w:ascii="Arial" w:hAnsi="Arial" w:cs="Arial"/>
          <w:b/>
          <w:sz w:val="24"/>
          <w:szCs w:val="24"/>
        </w:rPr>
        <w:t>7</w:t>
      </w:r>
    </w:p>
    <w:p w14:paraId="0595412A" w14:textId="6F03D9A5" w:rsidR="00FD45CD" w:rsidRPr="00DA12F7" w:rsidRDefault="008F43E8" w:rsidP="00FD45CD">
      <w:pPr>
        <w:rPr>
          <w:rFonts w:ascii="Arial" w:hAnsi="Arial" w:cs="Arial"/>
          <w:b/>
          <w:sz w:val="24"/>
          <w:szCs w:val="24"/>
        </w:rPr>
      </w:pPr>
      <w:r>
        <w:rPr>
          <w:rFonts w:ascii="Arial" w:hAnsi="Arial" w:cs="Arial"/>
          <w:b/>
          <w:sz w:val="24"/>
          <w:szCs w:val="24"/>
        </w:rPr>
        <w:t>Reno</w:t>
      </w:r>
      <w:r w:rsidR="00A2346F">
        <w:rPr>
          <w:rFonts w:ascii="Arial" w:hAnsi="Arial" w:cs="Arial"/>
          <w:b/>
          <w:sz w:val="24"/>
          <w:szCs w:val="24"/>
        </w:rPr>
        <w:t xml:space="preserve">, </w:t>
      </w:r>
      <w:r>
        <w:rPr>
          <w:rFonts w:ascii="Arial" w:hAnsi="Arial" w:cs="Arial"/>
          <w:b/>
          <w:sz w:val="24"/>
          <w:szCs w:val="24"/>
        </w:rPr>
        <w:t>Nevada, U.S.A.</w:t>
      </w:r>
    </w:p>
    <w:p w14:paraId="49F194EA" w14:textId="77777777" w:rsidR="00E725B6" w:rsidRPr="00E624D8" w:rsidRDefault="00E725B6" w:rsidP="00806F1F">
      <w:pPr>
        <w:pStyle w:val="Title"/>
        <w:tabs>
          <w:tab w:val="left" w:pos="709"/>
          <w:tab w:val="right" w:pos="9639"/>
        </w:tabs>
        <w:wordWrap w:val="0"/>
        <w:spacing w:after="0"/>
        <w:ind w:right="120"/>
        <w:rPr>
          <w:rFonts w:cs="Arial"/>
          <w:lang w:val="en-GB" w:eastAsia="ja-JP"/>
        </w:rPr>
      </w:pPr>
      <w:r w:rsidRPr="00E624D8">
        <w:rPr>
          <w:rFonts w:cs="Arial"/>
          <w:lang w:val="en-GB"/>
        </w:rPr>
        <w:tab/>
      </w:r>
    </w:p>
    <w:p w14:paraId="53EAB8BD" w14:textId="060680B9"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C50DB9">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A2346F">
        <w:rPr>
          <w:rFonts w:ascii="Arial" w:hAnsi="Arial"/>
          <w:sz w:val="24"/>
        </w:rPr>
        <w:t>1</w:t>
      </w:r>
      <w:r w:rsidR="000D4C5E">
        <w:rPr>
          <w:rFonts w:ascii="Arial" w:hAnsi="Arial"/>
          <w:sz w:val="24"/>
        </w:rPr>
        <w:t>.</w:t>
      </w:r>
      <w:r w:rsidR="003B41B2">
        <w:rPr>
          <w:rFonts w:ascii="Arial" w:hAnsi="Arial"/>
          <w:sz w:val="24"/>
        </w:rPr>
        <w:t>2.3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BCED2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F43E8" w:rsidRPr="008F43E8">
        <w:rPr>
          <w:rFonts w:ascii="Arial" w:hAnsi="Arial"/>
          <w:sz w:val="22"/>
        </w:rPr>
        <w:t>Remaining details of UL control channel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42FDD4D1" w14:textId="74578706" w:rsidR="002277C7" w:rsidRPr="00C50DB9" w:rsidRDefault="00FD6A3D" w:rsidP="00C50DB9">
      <w:pPr>
        <w:pStyle w:val="Heading1"/>
      </w:pPr>
      <w:r w:rsidRPr="00CC27F5">
        <w:t>1</w:t>
      </w:r>
      <w:r w:rsidRPr="00CC27F5">
        <w:tab/>
      </w:r>
      <w:r w:rsidR="00B209B5" w:rsidRPr="00CC27F5">
        <w:t>Introduction</w:t>
      </w:r>
    </w:p>
    <w:p w14:paraId="325EFD20" w14:textId="519E8F5D" w:rsidR="00C50DB9" w:rsidRDefault="00C50DB9" w:rsidP="00F30894">
      <w:pPr>
        <w:jc w:val="both"/>
      </w:pPr>
      <w:r>
        <w:t xml:space="preserve">Note: This paper is a revised version of </w:t>
      </w:r>
      <w:r w:rsidRPr="00C50DB9">
        <w:t>R1-171</w:t>
      </w:r>
      <w:r w:rsidR="008F43E8">
        <w:t>8106</w:t>
      </w:r>
      <w:r>
        <w:t>.</w:t>
      </w:r>
    </w:p>
    <w:p w14:paraId="49C86A7D" w14:textId="001F72BC" w:rsidR="00347D01" w:rsidRDefault="00564EB2" w:rsidP="008F43E8">
      <w:pPr>
        <w:jc w:val="both"/>
      </w:pPr>
      <w:r>
        <w:t>In t</w:t>
      </w:r>
      <w:r w:rsidR="00DC3E59">
        <w:t xml:space="preserve">his </w:t>
      </w:r>
      <w:r w:rsidR="002F5D8F">
        <w:t xml:space="preserve">contribution paper, we </w:t>
      </w:r>
      <w:r w:rsidR="008F43E8">
        <w:t>focus on the following two issues:</w:t>
      </w:r>
    </w:p>
    <w:p w14:paraId="5181499F" w14:textId="1407BF5E" w:rsidR="008F43E8" w:rsidRPr="008F43E8" w:rsidRDefault="008F43E8" w:rsidP="008F43E8">
      <w:pPr>
        <w:pStyle w:val="ListParagraph"/>
        <w:numPr>
          <w:ilvl w:val="0"/>
          <w:numId w:val="23"/>
        </w:numPr>
        <w:jc w:val="both"/>
        <w:rPr>
          <w:sz w:val="20"/>
          <w:szCs w:val="20"/>
        </w:rPr>
      </w:pPr>
      <w:r w:rsidRPr="008F43E8">
        <w:rPr>
          <w:sz w:val="20"/>
          <w:szCs w:val="20"/>
        </w:rPr>
        <w:t xml:space="preserve">PRB determination for 2/3-symbol sequence-based </w:t>
      </w:r>
      <w:proofErr w:type="spellStart"/>
      <w:r w:rsidRPr="008F43E8">
        <w:rPr>
          <w:sz w:val="20"/>
          <w:szCs w:val="20"/>
        </w:rPr>
        <w:t>sPUCCH</w:t>
      </w:r>
      <w:proofErr w:type="spellEnd"/>
    </w:p>
    <w:p w14:paraId="08452E93" w14:textId="21D0D39A" w:rsidR="008F43E8" w:rsidRPr="008F43E8" w:rsidRDefault="008F43E8" w:rsidP="008F43E8">
      <w:pPr>
        <w:pStyle w:val="ListParagraph"/>
        <w:numPr>
          <w:ilvl w:val="0"/>
          <w:numId w:val="23"/>
        </w:numPr>
        <w:jc w:val="both"/>
        <w:rPr>
          <w:sz w:val="20"/>
          <w:szCs w:val="20"/>
        </w:rPr>
      </w:pPr>
      <w:r w:rsidRPr="008F43E8">
        <w:rPr>
          <w:sz w:val="20"/>
          <w:szCs w:val="20"/>
        </w:rPr>
        <w:t xml:space="preserve">IFDMA-based 2/3-symbol </w:t>
      </w:r>
      <w:proofErr w:type="spellStart"/>
      <w:r w:rsidRPr="008F43E8">
        <w:rPr>
          <w:sz w:val="20"/>
          <w:szCs w:val="20"/>
        </w:rPr>
        <w:t>sPUCCH</w:t>
      </w:r>
      <w:proofErr w:type="spellEnd"/>
      <w:r w:rsidRPr="008F43E8">
        <w:rPr>
          <w:sz w:val="20"/>
          <w:szCs w:val="20"/>
        </w:rPr>
        <w:t>.</w:t>
      </w:r>
    </w:p>
    <w:p w14:paraId="5967F96A" w14:textId="61F56FC0" w:rsidR="00220B3D" w:rsidRDefault="006A2890" w:rsidP="00EA5F29">
      <w:pPr>
        <w:pStyle w:val="Heading1"/>
        <w:jc w:val="both"/>
      </w:pPr>
      <w:r>
        <w:t>2</w:t>
      </w:r>
      <w:r w:rsidR="007764E4" w:rsidRPr="00CC27F5">
        <w:tab/>
      </w:r>
      <w:r w:rsidR="008F43E8">
        <w:t xml:space="preserve">PRB Determination for Sequence-Based </w:t>
      </w:r>
      <w:proofErr w:type="spellStart"/>
      <w:r w:rsidR="008F43E8">
        <w:t>sPUCCH</w:t>
      </w:r>
      <w:proofErr w:type="spellEnd"/>
    </w:p>
    <w:p w14:paraId="6D14C58D" w14:textId="4F0897F5" w:rsidR="00D66211" w:rsidRDefault="008F43E8">
      <w:pPr>
        <w:jc w:val="both"/>
        <w:rPr>
          <w:lang w:val="en-GB"/>
        </w:rPr>
      </w:pPr>
      <w:r>
        <w:rPr>
          <w:lang w:val="en-GB"/>
        </w:rPr>
        <w:t xml:space="preserve">The sequence-based 2/3-symbol </w:t>
      </w:r>
      <w:proofErr w:type="spellStart"/>
      <w:r>
        <w:rPr>
          <w:lang w:val="en-GB"/>
        </w:rPr>
        <w:t>sPUCCH</w:t>
      </w:r>
      <w:proofErr w:type="spellEnd"/>
      <w:r>
        <w:rPr>
          <w:lang w:val="en-GB"/>
        </w:rPr>
        <w:t xml:space="preserve"> can be used to feed back up to 2 bits of HARQ ACK/NAK+SR. </w:t>
      </w:r>
      <w:r w:rsidR="00677102">
        <w:rPr>
          <w:lang w:val="en-GB"/>
        </w:rPr>
        <w:t>In RAN1 #90, it was agreed that:</w:t>
      </w:r>
    </w:p>
    <w:p w14:paraId="2D514F97" w14:textId="77777777" w:rsidR="00677102" w:rsidRPr="00677102" w:rsidRDefault="00677102" w:rsidP="00677102">
      <w:pPr>
        <w:rPr>
          <w:rFonts w:eastAsia="MS Mincho"/>
          <w:b/>
          <w:bCs/>
          <w:iCs/>
          <w:u w:val="single"/>
          <w:lang w:eastAsia="ja-JP"/>
        </w:rPr>
      </w:pPr>
      <w:r w:rsidRPr="00677102">
        <w:rPr>
          <w:rFonts w:eastAsia="MS Mincho"/>
          <w:b/>
          <w:bCs/>
          <w:iCs/>
          <w:highlight w:val="green"/>
          <w:u w:val="single"/>
          <w:lang w:eastAsia="ja-JP"/>
        </w:rPr>
        <w:t>Agreement:</w:t>
      </w:r>
    </w:p>
    <w:p w14:paraId="23672082" w14:textId="77777777" w:rsidR="00677102" w:rsidRPr="00677102" w:rsidRDefault="00677102" w:rsidP="00677102">
      <w:pPr>
        <w:rPr>
          <w:rFonts w:eastAsia="MS Mincho"/>
          <w:i/>
          <w:lang w:eastAsia="ja-JP"/>
        </w:rPr>
      </w:pPr>
      <w:r w:rsidRPr="00677102">
        <w:rPr>
          <w:rFonts w:eastAsia="MS Mincho"/>
          <w:i/>
          <w:lang w:eastAsia="ja-JP"/>
        </w:rPr>
        <w:t xml:space="preserve">The sequence-based </w:t>
      </w:r>
      <w:proofErr w:type="spellStart"/>
      <w:r w:rsidRPr="00677102">
        <w:rPr>
          <w:rFonts w:eastAsia="MS Mincho"/>
          <w:i/>
          <w:lang w:eastAsia="ja-JP"/>
        </w:rPr>
        <w:t>sPUCCH</w:t>
      </w:r>
      <w:proofErr w:type="spellEnd"/>
      <w:r w:rsidRPr="00677102">
        <w:rPr>
          <w:rFonts w:eastAsia="MS Mincho"/>
          <w:i/>
          <w:lang w:eastAsia="ja-JP"/>
        </w:rPr>
        <w:t xml:space="preserve"> w/o DMRS is supported for up to two HARQ-ACK bits in 2OS </w:t>
      </w:r>
      <w:proofErr w:type="spellStart"/>
      <w:r w:rsidRPr="00677102">
        <w:rPr>
          <w:rFonts w:eastAsia="MS Mincho"/>
          <w:i/>
          <w:lang w:eastAsia="ja-JP"/>
        </w:rPr>
        <w:t>sTTI</w:t>
      </w:r>
      <w:proofErr w:type="spellEnd"/>
      <w:r w:rsidRPr="00677102">
        <w:rPr>
          <w:rFonts w:eastAsia="MS Mincho"/>
          <w:i/>
          <w:lang w:eastAsia="ja-JP"/>
        </w:rPr>
        <w:t xml:space="preserve"> and 3OS </w:t>
      </w:r>
      <w:proofErr w:type="spellStart"/>
      <w:r w:rsidRPr="00677102">
        <w:rPr>
          <w:rFonts w:eastAsia="MS Mincho"/>
          <w:i/>
          <w:lang w:eastAsia="ja-JP"/>
        </w:rPr>
        <w:t>sTTI</w:t>
      </w:r>
      <w:proofErr w:type="spellEnd"/>
      <w:r w:rsidRPr="00677102">
        <w:rPr>
          <w:rFonts w:eastAsia="MS Mincho"/>
          <w:i/>
          <w:lang w:eastAsia="ja-JP"/>
        </w:rPr>
        <w:t>.</w:t>
      </w:r>
    </w:p>
    <w:p w14:paraId="4656EE19" w14:textId="77777777" w:rsidR="00677102" w:rsidRPr="00677102" w:rsidRDefault="00677102" w:rsidP="00677102">
      <w:pPr>
        <w:numPr>
          <w:ilvl w:val="0"/>
          <w:numId w:val="15"/>
        </w:numPr>
        <w:tabs>
          <w:tab w:val="clear" w:pos="720"/>
          <w:tab w:val="num" w:pos="360"/>
        </w:tabs>
        <w:overflowPunct/>
        <w:autoSpaceDE/>
        <w:autoSpaceDN/>
        <w:adjustRightInd/>
        <w:spacing w:after="0"/>
        <w:ind w:left="360"/>
        <w:textAlignment w:val="auto"/>
        <w:rPr>
          <w:rFonts w:eastAsia="MS Mincho"/>
          <w:i/>
          <w:lang w:eastAsia="ja-JP"/>
        </w:rPr>
      </w:pPr>
      <w:r w:rsidRPr="00677102">
        <w:rPr>
          <w:rFonts w:eastAsia="MS Mincho"/>
          <w:i/>
          <w:lang w:eastAsia="ja-JP"/>
        </w:rPr>
        <w:t xml:space="preserve">ACK/NACK information map to different </w:t>
      </w:r>
      <w:proofErr w:type="spellStart"/>
      <w:r w:rsidRPr="00677102">
        <w:rPr>
          <w:rFonts w:eastAsia="MS Mincho"/>
          <w:i/>
          <w:lang w:eastAsia="ja-JP"/>
        </w:rPr>
        <w:t>sPUCCH</w:t>
      </w:r>
      <w:proofErr w:type="spellEnd"/>
      <w:r w:rsidRPr="00677102">
        <w:rPr>
          <w:rFonts w:eastAsia="MS Mincho"/>
          <w:i/>
          <w:lang w:eastAsia="ja-JP"/>
        </w:rPr>
        <w:t xml:space="preserve"> resource</w:t>
      </w:r>
    </w:p>
    <w:p w14:paraId="0FF90AE1" w14:textId="7D879FBA" w:rsidR="00677102" w:rsidRDefault="00677102" w:rsidP="00677102">
      <w:pPr>
        <w:numPr>
          <w:ilvl w:val="1"/>
          <w:numId w:val="15"/>
        </w:numPr>
        <w:tabs>
          <w:tab w:val="clear" w:pos="1440"/>
          <w:tab w:val="num" w:pos="1080"/>
        </w:tabs>
        <w:overflowPunct/>
        <w:autoSpaceDE/>
        <w:autoSpaceDN/>
        <w:adjustRightInd/>
        <w:spacing w:after="0"/>
        <w:ind w:left="1080"/>
        <w:textAlignment w:val="auto"/>
        <w:rPr>
          <w:rFonts w:eastAsia="MS Mincho"/>
          <w:i/>
          <w:lang w:eastAsia="ja-JP"/>
        </w:rPr>
      </w:pPr>
      <w:r w:rsidRPr="00677102">
        <w:rPr>
          <w:rFonts w:eastAsia="MS Mincho"/>
          <w:i/>
          <w:lang w:eastAsia="ja-JP"/>
        </w:rPr>
        <w:t xml:space="preserve">NOTE: </w:t>
      </w:r>
      <w:proofErr w:type="spellStart"/>
      <w:r w:rsidRPr="00677102">
        <w:rPr>
          <w:rFonts w:eastAsia="MS Mincho"/>
          <w:i/>
          <w:lang w:eastAsia="ja-JP"/>
        </w:rPr>
        <w:t>sPUCCH</w:t>
      </w:r>
      <w:proofErr w:type="spellEnd"/>
      <w:r w:rsidRPr="00677102">
        <w:rPr>
          <w:rFonts w:eastAsia="MS Mincho"/>
          <w:i/>
          <w:lang w:eastAsia="ja-JP"/>
        </w:rPr>
        <w:t xml:space="preserve"> resource consist of RB index and cyclic shift</w:t>
      </w:r>
      <w:r>
        <w:rPr>
          <w:rFonts w:eastAsia="MS Mincho"/>
          <w:i/>
          <w:lang w:eastAsia="ja-JP"/>
        </w:rPr>
        <w:t>.</w:t>
      </w:r>
    </w:p>
    <w:p w14:paraId="5707980F" w14:textId="56086A30" w:rsidR="00677102" w:rsidRDefault="00677102" w:rsidP="00677102">
      <w:pPr>
        <w:tabs>
          <w:tab w:val="num" w:pos="1080"/>
        </w:tabs>
        <w:overflowPunct/>
        <w:autoSpaceDE/>
        <w:autoSpaceDN/>
        <w:adjustRightInd/>
        <w:spacing w:after="0"/>
        <w:textAlignment w:val="auto"/>
        <w:rPr>
          <w:rFonts w:eastAsia="MS Mincho"/>
          <w:i/>
          <w:lang w:eastAsia="ja-JP"/>
        </w:rPr>
      </w:pPr>
    </w:p>
    <w:p w14:paraId="1BDEA914" w14:textId="54A27AC7" w:rsidR="00677102" w:rsidRDefault="001E21A1" w:rsidP="001E21A1">
      <w:pPr>
        <w:tabs>
          <w:tab w:val="num" w:pos="1080"/>
        </w:tabs>
        <w:overflowPunct/>
        <w:autoSpaceDE/>
        <w:autoSpaceDN/>
        <w:adjustRightInd/>
        <w:spacing w:after="0"/>
        <w:jc w:val="both"/>
        <w:textAlignment w:val="auto"/>
        <w:rPr>
          <w:rFonts w:eastAsiaTheme="minorEastAsia"/>
          <w:color w:val="000000" w:themeColor="text1"/>
          <w:lang w:eastAsia="zh-CN"/>
        </w:rPr>
      </w:pPr>
      <w:r w:rsidRPr="001E21A1">
        <w:rPr>
          <w:rFonts w:eastAsia="MS Mincho"/>
          <w:iCs/>
          <w:lang w:eastAsia="ja-JP"/>
        </w:rPr>
        <w:t xml:space="preserve">Based on the above agreement, a UE is configured with a number of </w:t>
      </w:r>
      <w:proofErr w:type="spellStart"/>
      <w:r w:rsidRPr="001E21A1">
        <w:rPr>
          <w:rFonts w:eastAsia="MS Mincho"/>
          <w:iCs/>
          <w:lang w:eastAsia="ja-JP"/>
        </w:rPr>
        <w:t>sPUCCH</w:t>
      </w:r>
      <w:proofErr w:type="spellEnd"/>
      <w:r w:rsidRPr="001E21A1">
        <w:rPr>
          <w:rFonts w:eastAsia="MS Mincho"/>
          <w:iCs/>
          <w:lang w:eastAsia="ja-JP"/>
        </w:rPr>
        <w:t xml:space="preserve"> resources from which the cyclic shifts and RB index may be derived.</w:t>
      </w:r>
      <w:r>
        <w:rPr>
          <w:rFonts w:eastAsia="MS Mincho"/>
          <w:iCs/>
          <w:lang w:eastAsia="ja-JP"/>
        </w:rPr>
        <w:t xml:space="preserve"> Although the CSs used can be derived based on the </w:t>
      </w:r>
      <w:proofErr w:type="spellStart"/>
      <w:r>
        <w:rPr>
          <w:rFonts w:eastAsia="MS Mincho"/>
          <w:iCs/>
          <w:lang w:eastAsia="ja-JP"/>
        </w:rPr>
        <w:t>sPUCCH</w:t>
      </w:r>
      <w:proofErr w:type="spellEnd"/>
      <w:r>
        <w:rPr>
          <w:rFonts w:eastAsia="MS Mincho"/>
          <w:iCs/>
          <w:lang w:eastAsia="ja-JP"/>
        </w:rPr>
        <w:t xml:space="preserve"> resources, i.e., by considering the combination of ACK/NAK bits to be fed back, the RB index should not be changed based on the HARQ ACK/NAK payload. The reason is as follows: </w:t>
      </w:r>
      <w:r w:rsidRPr="001E21A1">
        <w:rPr>
          <w:rFonts w:eastAsiaTheme="minorEastAsia"/>
          <w:color w:val="000000" w:themeColor="text1"/>
          <w:lang w:eastAsia="zh-CN"/>
        </w:rPr>
        <w:t xml:space="preserve">The UL power computation is dependent on the RB index. If </w:t>
      </w:r>
      <w:r>
        <w:rPr>
          <w:rFonts w:eastAsiaTheme="minorEastAsia"/>
          <w:color w:val="000000" w:themeColor="text1"/>
          <w:lang w:eastAsia="zh-CN"/>
        </w:rPr>
        <w:t>the PRB index</w:t>
      </w:r>
      <w:r w:rsidRPr="001E21A1">
        <w:rPr>
          <w:rFonts w:eastAsiaTheme="minorEastAsia"/>
          <w:color w:val="000000" w:themeColor="text1"/>
          <w:lang w:eastAsia="zh-CN"/>
        </w:rPr>
        <w:t xml:space="preserve"> is given by higher layers, the </w:t>
      </w:r>
      <w:r>
        <w:rPr>
          <w:rFonts w:eastAsiaTheme="minorEastAsia"/>
          <w:color w:val="000000" w:themeColor="text1"/>
          <w:lang w:eastAsia="zh-CN"/>
        </w:rPr>
        <w:t xml:space="preserve">UL </w:t>
      </w:r>
      <w:r w:rsidRPr="001E21A1">
        <w:rPr>
          <w:rFonts w:eastAsiaTheme="minorEastAsia"/>
          <w:color w:val="000000" w:themeColor="text1"/>
          <w:lang w:eastAsia="zh-CN"/>
        </w:rPr>
        <w:t>power computation</w:t>
      </w:r>
      <w:r>
        <w:rPr>
          <w:rFonts w:eastAsiaTheme="minorEastAsia"/>
          <w:color w:val="000000" w:themeColor="text1"/>
          <w:lang w:eastAsia="zh-CN"/>
        </w:rPr>
        <w:t>s</w:t>
      </w:r>
      <w:r w:rsidRPr="001E21A1">
        <w:rPr>
          <w:rFonts w:eastAsiaTheme="minorEastAsia"/>
          <w:color w:val="000000" w:themeColor="text1"/>
          <w:lang w:eastAsia="zh-CN"/>
        </w:rPr>
        <w:t xml:space="preserve"> can be done as soon as the grant is decoded. If </w:t>
      </w:r>
      <w:r>
        <w:rPr>
          <w:rFonts w:eastAsiaTheme="minorEastAsia"/>
          <w:color w:val="000000" w:themeColor="text1"/>
          <w:lang w:eastAsia="zh-CN"/>
        </w:rPr>
        <w:t>P</w:t>
      </w:r>
      <w:r w:rsidRPr="001E21A1">
        <w:rPr>
          <w:rFonts w:eastAsiaTheme="minorEastAsia"/>
          <w:color w:val="000000" w:themeColor="text1"/>
          <w:lang w:eastAsia="zh-CN"/>
        </w:rPr>
        <w:t xml:space="preserve">RB </w:t>
      </w:r>
      <w:r>
        <w:rPr>
          <w:rFonts w:eastAsiaTheme="minorEastAsia"/>
          <w:color w:val="000000" w:themeColor="text1"/>
          <w:lang w:eastAsia="zh-CN"/>
        </w:rPr>
        <w:t xml:space="preserve">index </w:t>
      </w:r>
      <w:r w:rsidRPr="001E21A1">
        <w:rPr>
          <w:rFonts w:eastAsiaTheme="minorEastAsia"/>
          <w:color w:val="000000" w:themeColor="text1"/>
          <w:lang w:eastAsia="zh-CN"/>
        </w:rPr>
        <w:t>is dependent on the actual combination of ACK/NAK</w:t>
      </w:r>
      <w:r>
        <w:rPr>
          <w:rFonts w:eastAsiaTheme="minorEastAsia"/>
          <w:color w:val="000000" w:themeColor="text1"/>
          <w:lang w:eastAsia="zh-CN"/>
        </w:rPr>
        <w:t xml:space="preserve"> bits, </w:t>
      </w:r>
      <w:r w:rsidRPr="001E21A1">
        <w:rPr>
          <w:rFonts w:eastAsiaTheme="minorEastAsia"/>
          <w:color w:val="000000" w:themeColor="text1"/>
          <w:lang w:eastAsia="zh-CN"/>
        </w:rPr>
        <w:t xml:space="preserve">then the </w:t>
      </w:r>
      <w:r>
        <w:rPr>
          <w:rFonts w:eastAsiaTheme="minorEastAsia"/>
          <w:color w:val="000000" w:themeColor="text1"/>
          <w:lang w:eastAsia="zh-CN"/>
        </w:rPr>
        <w:t xml:space="preserve">UL power computations can only be launched after the TB is </w:t>
      </w:r>
      <w:proofErr w:type="spellStart"/>
      <w:r>
        <w:rPr>
          <w:rFonts w:eastAsiaTheme="minorEastAsia"/>
          <w:color w:val="000000" w:themeColor="text1"/>
          <w:lang w:eastAsia="zh-CN"/>
        </w:rPr>
        <w:t>prcessed</w:t>
      </w:r>
      <w:proofErr w:type="spellEnd"/>
      <w:r w:rsidRPr="001E21A1">
        <w:rPr>
          <w:rFonts w:eastAsiaTheme="minorEastAsia"/>
          <w:color w:val="000000" w:themeColor="text1"/>
          <w:lang w:eastAsia="zh-CN"/>
        </w:rPr>
        <w:t>. This approach put more pressure on the already very short processing timeline of the UE.</w:t>
      </w:r>
    </w:p>
    <w:p w14:paraId="784CFC68" w14:textId="77777777" w:rsidR="001E21A1" w:rsidRDefault="001E21A1" w:rsidP="001E21A1">
      <w:pPr>
        <w:tabs>
          <w:tab w:val="num" w:pos="1080"/>
        </w:tabs>
        <w:overflowPunct/>
        <w:autoSpaceDE/>
        <w:autoSpaceDN/>
        <w:adjustRightInd/>
        <w:spacing w:after="0"/>
        <w:jc w:val="both"/>
        <w:textAlignment w:val="auto"/>
        <w:rPr>
          <w:rFonts w:eastAsiaTheme="minorEastAsia"/>
          <w:color w:val="000000" w:themeColor="text1"/>
          <w:lang w:eastAsia="zh-CN"/>
        </w:rPr>
      </w:pPr>
    </w:p>
    <w:p w14:paraId="17BA72D0" w14:textId="04288485" w:rsidR="00677102" w:rsidRDefault="001E21A1" w:rsidP="001E21A1">
      <w:pPr>
        <w:tabs>
          <w:tab w:val="num" w:pos="1080"/>
        </w:tabs>
        <w:overflowPunct/>
        <w:autoSpaceDE/>
        <w:autoSpaceDN/>
        <w:adjustRightInd/>
        <w:spacing w:after="0"/>
        <w:jc w:val="both"/>
        <w:textAlignment w:val="auto"/>
        <w:rPr>
          <w:rFonts w:eastAsiaTheme="minorEastAsia"/>
          <w:b/>
          <w:bCs/>
          <w:color w:val="000000" w:themeColor="text1"/>
          <w:lang w:eastAsia="zh-CN"/>
        </w:rPr>
      </w:pPr>
      <w:r w:rsidRPr="001E21A1">
        <w:rPr>
          <w:rFonts w:eastAsiaTheme="minorEastAsia"/>
          <w:b/>
          <w:bCs/>
          <w:color w:val="000000" w:themeColor="text1"/>
          <w:lang w:eastAsia="zh-CN"/>
        </w:rPr>
        <w:t xml:space="preserve">Proposal 1: For 2/3-symbol sequence-based </w:t>
      </w:r>
      <w:proofErr w:type="spellStart"/>
      <w:r w:rsidRPr="001E21A1">
        <w:rPr>
          <w:rFonts w:eastAsiaTheme="minorEastAsia"/>
          <w:b/>
          <w:bCs/>
          <w:color w:val="000000" w:themeColor="text1"/>
          <w:lang w:eastAsia="zh-CN"/>
        </w:rPr>
        <w:t>sPUCCH</w:t>
      </w:r>
      <w:proofErr w:type="spellEnd"/>
      <w:r w:rsidRPr="001E21A1">
        <w:rPr>
          <w:rFonts w:eastAsiaTheme="minorEastAsia"/>
          <w:b/>
          <w:bCs/>
          <w:color w:val="000000" w:themeColor="text1"/>
          <w:lang w:eastAsia="zh-CN"/>
        </w:rPr>
        <w:t>, the PRB index is given by higher layers.</w:t>
      </w:r>
    </w:p>
    <w:p w14:paraId="217084A3" w14:textId="59767057" w:rsidR="002E70EE" w:rsidRDefault="002E70EE" w:rsidP="001E21A1">
      <w:pPr>
        <w:tabs>
          <w:tab w:val="num" w:pos="1080"/>
        </w:tabs>
        <w:overflowPunct/>
        <w:autoSpaceDE/>
        <w:autoSpaceDN/>
        <w:adjustRightInd/>
        <w:spacing w:after="0"/>
        <w:jc w:val="both"/>
        <w:textAlignment w:val="auto"/>
        <w:rPr>
          <w:rFonts w:eastAsiaTheme="minorEastAsia"/>
          <w:b/>
          <w:bCs/>
          <w:color w:val="000000" w:themeColor="text1"/>
          <w:lang w:eastAsia="zh-CN"/>
        </w:rPr>
      </w:pPr>
    </w:p>
    <w:p w14:paraId="2FC0A581" w14:textId="18255C86" w:rsidR="002E70EE" w:rsidRPr="002E70EE" w:rsidRDefault="002E70EE" w:rsidP="001E21A1">
      <w:pPr>
        <w:tabs>
          <w:tab w:val="num" w:pos="1080"/>
        </w:tabs>
        <w:overflowPunct/>
        <w:autoSpaceDE/>
        <w:autoSpaceDN/>
        <w:adjustRightInd/>
        <w:spacing w:after="0"/>
        <w:jc w:val="both"/>
        <w:textAlignment w:val="auto"/>
        <w:rPr>
          <w:rFonts w:eastAsiaTheme="minorEastAsia"/>
          <w:color w:val="000000" w:themeColor="text1"/>
          <w:lang w:eastAsia="zh-CN"/>
        </w:rPr>
      </w:pPr>
      <w:r w:rsidRPr="002E70EE">
        <w:rPr>
          <w:rFonts w:eastAsiaTheme="minorEastAsia"/>
          <w:color w:val="000000" w:themeColor="text1"/>
          <w:lang w:eastAsia="zh-CN"/>
        </w:rPr>
        <w:t>Once the PRB index is given by RRC, different cyclic shifts can be used to distinguish between HARQ ACK/NAK.</w:t>
      </w:r>
    </w:p>
    <w:p w14:paraId="6C5B4DDA" w14:textId="41712EF8" w:rsidR="002E70EE" w:rsidRDefault="002E70EE" w:rsidP="001E21A1">
      <w:pPr>
        <w:tabs>
          <w:tab w:val="num" w:pos="1080"/>
        </w:tabs>
        <w:overflowPunct/>
        <w:autoSpaceDE/>
        <w:autoSpaceDN/>
        <w:adjustRightInd/>
        <w:spacing w:after="0"/>
        <w:jc w:val="both"/>
        <w:textAlignment w:val="auto"/>
        <w:rPr>
          <w:rFonts w:eastAsiaTheme="minorEastAsia"/>
          <w:b/>
          <w:bCs/>
          <w:color w:val="000000" w:themeColor="text1"/>
          <w:lang w:eastAsia="zh-CN"/>
        </w:rPr>
      </w:pPr>
    </w:p>
    <w:p w14:paraId="2E23AD0C" w14:textId="584D4C3F" w:rsidR="002E70EE" w:rsidRPr="002E70EE" w:rsidRDefault="002E70EE" w:rsidP="001E21A1">
      <w:pPr>
        <w:tabs>
          <w:tab w:val="num" w:pos="1080"/>
        </w:tabs>
        <w:overflowPunct/>
        <w:autoSpaceDE/>
        <w:autoSpaceDN/>
        <w:adjustRightInd/>
        <w:spacing w:after="0"/>
        <w:jc w:val="both"/>
        <w:textAlignment w:val="auto"/>
        <w:rPr>
          <w:rFonts w:eastAsiaTheme="minorEastAsia"/>
          <w:b/>
          <w:bCs/>
          <w:color w:val="000000" w:themeColor="text1"/>
          <w:lang w:eastAsia="zh-CN"/>
        </w:rPr>
      </w:pPr>
      <w:r w:rsidRPr="002E70EE">
        <w:rPr>
          <w:rFonts w:eastAsiaTheme="minorEastAsia"/>
          <w:b/>
          <w:bCs/>
          <w:color w:val="000000" w:themeColor="text1"/>
          <w:lang w:eastAsia="zh-CN"/>
        </w:rPr>
        <w:t>Proposal 2: Only the cyclic shifts are used to distinguish between the HARQ ACK/NAK.</w:t>
      </w:r>
    </w:p>
    <w:p w14:paraId="0C183ED8" w14:textId="1D7116F3" w:rsidR="00527F1E" w:rsidRPr="00AC0709" w:rsidRDefault="006A2890" w:rsidP="00AC0709">
      <w:pPr>
        <w:pStyle w:val="Heading1"/>
        <w:jc w:val="both"/>
      </w:pPr>
      <w:r>
        <w:t>3</w:t>
      </w:r>
      <w:r w:rsidR="000A0733" w:rsidRPr="00CC27F5">
        <w:tab/>
      </w:r>
      <w:r w:rsidR="00AC0709">
        <w:t xml:space="preserve">IFDMA-Based </w:t>
      </w:r>
      <w:r w:rsidR="000A0733">
        <w:t xml:space="preserve">2-Symbol </w:t>
      </w:r>
      <w:proofErr w:type="spellStart"/>
      <w:r w:rsidR="000A0733">
        <w:t>sPUCCH</w:t>
      </w:r>
      <w:proofErr w:type="spellEnd"/>
      <w:r w:rsidR="000A0733">
        <w:t xml:space="preserve"> Design</w:t>
      </w:r>
    </w:p>
    <w:p w14:paraId="6ACF2956" w14:textId="6CAA88C8" w:rsidR="001E78B0" w:rsidRDefault="009064D8" w:rsidP="00F51B9F">
      <w:pPr>
        <w:jc w:val="both"/>
        <w:rPr>
          <w:lang w:val="en-GB"/>
        </w:rPr>
      </w:pPr>
      <w:r>
        <w:rPr>
          <w:lang w:val="en-GB"/>
        </w:rPr>
        <w:t xml:space="preserve">Under the interlaced based </w:t>
      </w:r>
      <w:proofErr w:type="spellStart"/>
      <w:r>
        <w:rPr>
          <w:lang w:val="en-GB"/>
        </w:rPr>
        <w:t>sPUCCH</w:t>
      </w:r>
      <w:proofErr w:type="spellEnd"/>
      <w:r>
        <w:rPr>
          <w:lang w:val="en-GB"/>
        </w:rPr>
        <w:t xml:space="preserve"> format</w:t>
      </w:r>
      <w:r w:rsidR="00063297">
        <w:rPr>
          <w:lang w:val="en-GB"/>
        </w:rPr>
        <w:t xml:space="preserve">, we consider a 2-symbol TTI spanned over possibly multiple PRBs, </w:t>
      </w:r>
      <w:r>
        <w:rPr>
          <w:lang w:val="en-GB"/>
        </w:rPr>
        <w:t xml:space="preserve">where </w:t>
      </w:r>
      <w:r w:rsidR="00063297">
        <w:rPr>
          <w:lang w:val="en-GB"/>
        </w:rPr>
        <w:t>the 1</w:t>
      </w:r>
      <w:r w:rsidR="00063297">
        <w:rPr>
          <w:vertAlign w:val="superscript"/>
          <w:lang w:val="en-GB"/>
        </w:rPr>
        <w:t>st</w:t>
      </w:r>
      <w:r w:rsidR="00063297">
        <w:rPr>
          <w:lang w:val="en-GB"/>
        </w:rPr>
        <w:t xml:space="preserve"> symbol is used for DMRS transmission, while the 2</w:t>
      </w:r>
      <w:r w:rsidR="00063297">
        <w:rPr>
          <w:vertAlign w:val="superscript"/>
          <w:lang w:val="en-GB"/>
        </w:rPr>
        <w:t>nd</w:t>
      </w:r>
      <w:r w:rsidR="00063297">
        <w:rPr>
          <w:lang w:val="en-GB"/>
        </w:rPr>
        <w:t xml:space="preserve"> symbol is used for UCI transmission. </w:t>
      </w:r>
      <w:r>
        <w:rPr>
          <w:lang w:val="en-GB"/>
        </w:rPr>
        <w:t>A</w:t>
      </w:r>
      <w:r w:rsidR="00F51B9F" w:rsidRPr="007628A5">
        <w:rPr>
          <w:lang w:val="en-GB"/>
        </w:rPr>
        <w:t xml:space="preserve"> comb-like structure is considered over each of the two symbols</w:t>
      </w:r>
      <w:r>
        <w:rPr>
          <w:lang w:val="en-GB"/>
        </w:rPr>
        <w:t>. One example of such design with a 2-comb structure is shown in Figure 1.</w:t>
      </w:r>
    </w:p>
    <w:p w14:paraId="719D5034" w14:textId="778679F8" w:rsidR="009064D8" w:rsidRPr="007628A5" w:rsidRDefault="009064D8" w:rsidP="009064D8">
      <w:pPr>
        <w:jc w:val="both"/>
        <w:rPr>
          <w:lang w:val="en-GB"/>
        </w:rPr>
      </w:pPr>
      <w:r w:rsidRPr="007628A5">
        <w:rPr>
          <w:lang w:val="en-GB"/>
        </w:rPr>
        <w:t xml:space="preserve">Over the DMRS symbol, each user is assigned with an interlace index. Hence, users’ DMRS sequences can be made orthogonal at the </w:t>
      </w:r>
      <w:proofErr w:type="spellStart"/>
      <w:r w:rsidRPr="007628A5">
        <w:rPr>
          <w:lang w:val="en-GB"/>
        </w:rPr>
        <w:t>eNB</w:t>
      </w:r>
      <w:proofErr w:type="spellEnd"/>
      <w:r w:rsidRPr="007628A5">
        <w:rPr>
          <w:lang w:val="en-GB"/>
        </w:rPr>
        <w:t xml:space="preserve"> through using different</w:t>
      </w:r>
      <w:r>
        <w:rPr>
          <w:lang w:val="en-GB"/>
        </w:rPr>
        <w:t xml:space="preserve"> interlaces</w:t>
      </w:r>
      <w:r w:rsidRPr="007628A5">
        <w:rPr>
          <w:lang w:val="en-GB"/>
        </w:rPr>
        <w:t>.</w:t>
      </w:r>
    </w:p>
    <w:p w14:paraId="0DAA9FB8" w14:textId="2D2A2B02" w:rsidR="009064D8" w:rsidRPr="008729FF" w:rsidRDefault="009064D8" w:rsidP="008729FF">
      <w:pPr>
        <w:jc w:val="both"/>
        <w:rPr>
          <w:lang w:val="en-GB"/>
        </w:rPr>
      </w:pPr>
      <w:r>
        <w:rPr>
          <w:lang w:val="en-GB"/>
        </w:rPr>
        <w:lastRenderedPageBreak/>
        <w:t>Over the data symbol, e</w:t>
      </w:r>
      <w:r w:rsidRPr="007628A5">
        <w:rPr>
          <w:lang w:val="en-GB"/>
        </w:rPr>
        <w:t>ach interlace is used solely by one user, i.e., only one user transmits in an IFDMA manner</w:t>
      </w:r>
      <w:r>
        <w:rPr>
          <w:lang w:val="en-GB"/>
        </w:rPr>
        <w:t xml:space="preserve"> (DFT-based interlaced-based transmission)</w:t>
      </w:r>
      <w:r w:rsidRPr="007628A5">
        <w:rPr>
          <w:lang w:val="en-GB"/>
        </w:rPr>
        <w:t xml:space="preserve"> over all REs associated with the given interlace. This scheme is suitable for sending </w:t>
      </w:r>
      <w:r w:rsidRPr="00FA3AD9">
        <w:rPr>
          <w:i/>
          <w:lang w:val="en-GB"/>
        </w:rPr>
        <w:t>large payload sizes</w:t>
      </w:r>
      <w:r w:rsidRPr="007628A5">
        <w:rPr>
          <w:lang w:val="en-GB"/>
        </w:rPr>
        <w:t>, e.g., CSI</w:t>
      </w:r>
      <w:r>
        <w:rPr>
          <w:lang w:val="en-GB"/>
        </w:rPr>
        <w:t xml:space="preserve"> or HARQ ACK/NAK associated with multiple CCs.</w:t>
      </w:r>
      <w:r w:rsidRPr="001E78B0">
        <w:rPr>
          <w:lang w:val="en-GB"/>
        </w:rPr>
        <w:t xml:space="preserve"> </w:t>
      </w:r>
    </w:p>
    <w:p w14:paraId="65BE177B" w14:textId="1A9B8D7A" w:rsidR="009064D8" w:rsidRDefault="009064D8" w:rsidP="009064D8">
      <w:pPr>
        <w:jc w:val="both"/>
        <w:rPr>
          <w:lang w:val="en-GB"/>
        </w:rPr>
      </w:pPr>
      <w:r>
        <w:rPr>
          <w:lang w:val="en-GB"/>
        </w:rPr>
        <w:t xml:space="preserve">With this structure, since each user transmits both its DMRS as well as data symbols in an IFDMA manner, </w:t>
      </w:r>
      <w:r w:rsidRPr="00AC0709">
        <w:rPr>
          <w:i/>
          <w:iCs/>
          <w:lang w:val="en-GB"/>
        </w:rPr>
        <w:t>the SC-FDM waveform property is not violated</w:t>
      </w:r>
      <w:r>
        <w:rPr>
          <w:lang w:val="en-GB"/>
        </w:rPr>
        <w:t xml:space="preserve">. Hence, </w:t>
      </w:r>
      <w:r w:rsidR="009E424B">
        <w:rPr>
          <w:lang w:val="en-GB"/>
        </w:rPr>
        <w:t xml:space="preserve">the proposed </w:t>
      </w:r>
      <w:proofErr w:type="spellStart"/>
      <w:r>
        <w:rPr>
          <w:lang w:val="en-GB"/>
        </w:rPr>
        <w:t>sPUCCH</w:t>
      </w:r>
      <w:proofErr w:type="spellEnd"/>
      <w:r>
        <w:rPr>
          <w:lang w:val="en-GB"/>
        </w:rPr>
        <w:t xml:space="preserve"> </w:t>
      </w:r>
      <w:r w:rsidRPr="007628A5">
        <w:rPr>
          <w:lang w:val="en-GB"/>
        </w:rPr>
        <w:t xml:space="preserve">achieves </w:t>
      </w:r>
      <w:r w:rsidRPr="00AC0709">
        <w:rPr>
          <w:i/>
          <w:iCs/>
          <w:lang w:val="en-GB"/>
        </w:rPr>
        <w:t>a low PAPR</w:t>
      </w:r>
      <w:r w:rsidR="009E424B">
        <w:rPr>
          <w:lang w:val="en-GB"/>
        </w:rPr>
        <w:t>.</w:t>
      </w:r>
      <w:r w:rsidRPr="007628A5">
        <w:rPr>
          <w:lang w:val="en-GB"/>
        </w:rPr>
        <w:t xml:space="preserve"> In addition, since each user transmits over a set of REs distributed across multiple PRBs, this approach benefits from channel frequency diversity to a larger extent. </w:t>
      </w:r>
      <w:r w:rsidR="009E424B">
        <w:rPr>
          <w:lang w:val="en-GB"/>
        </w:rPr>
        <w:t xml:space="preserve">The performance benefits of the interlace-based </w:t>
      </w:r>
      <w:proofErr w:type="spellStart"/>
      <w:r w:rsidR="009E424B">
        <w:rPr>
          <w:lang w:val="en-GB"/>
        </w:rPr>
        <w:t>sPUCCH</w:t>
      </w:r>
      <w:proofErr w:type="spellEnd"/>
      <w:r w:rsidR="009E424B">
        <w:rPr>
          <w:lang w:val="en-GB"/>
        </w:rPr>
        <w:t xml:space="preserve"> as compared to the case when IFDMA is not adopted is shown in [1]. </w:t>
      </w:r>
      <w:r w:rsidRPr="007628A5">
        <w:rPr>
          <w:lang w:val="en-GB"/>
        </w:rPr>
        <w:t xml:space="preserve">It is also important to note that by properly choosing the number of PRBs to occupy as well as the number of interlaces, </w:t>
      </w:r>
      <w:r w:rsidR="009E424B">
        <w:rPr>
          <w:lang w:val="en-GB"/>
        </w:rPr>
        <w:t>different</w:t>
      </w:r>
      <w:r w:rsidRPr="007628A5">
        <w:rPr>
          <w:lang w:val="en-GB"/>
        </w:rPr>
        <w:t xml:space="preserve"> payload sizes can be supported. Further, the number of uplink transmissions/users to multiplex can be controlled. </w:t>
      </w:r>
    </w:p>
    <w:p w14:paraId="587D5652" w14:textId="520DB0CF" w:rsidR="00BE5A89" w:rsidRDefault="009064D8" w:rsidP="009064D8">
      <w:pPr>
        <w:jc w:val="both"/>
        <w:rPr>
          <w:lang w:val="en-GB"/>
        </w:rPr>
      </w:pPr>
      <w:r w:rsidRPr="007628A5">
        <w:rPr>
          <w:lang w:val="en-GB"/>
        </w:rPr>
        <w:t xml:space="preserve">When this </w:t>
      </w:r>
      <w:proofErr w:type="spellStart"/>
      <w:r w:rsidRPr="007628A5">
        <w:rPr>
          <w:lang w:val="en-GB"/>
        </w:rPr>
        <w:t>sPUCCH</w:t>
      </w:r>
      <w:proofErr w:type="spellEnd"/>
      <w:r w:rsidRPr="007628A5">
        <w:rPr>
          <w:lang w:val="en-GB"/>
        </w:rPr>
        <w:t xml:space="preserve"> region is configured, but either there is only one user scheduled to transmit UCI, or one user has a large payload to transmit, for example in the CA scenario, without using the interlaces, the entire region can be used by the given user to transmit the UCI in an SC-FDM manner. As a result, depending the payload, one of the two modes can be configured over the indicated </w:t>
      </w:r>
      <w:proofErr w:type="spellStart"/>
      <w:r w:rsidRPr="007628A5">
        <w:rPr>
          <w:lang w:val="en-GB"/>
        </w:rPr>
        <w:t>sPUCCH</w:t>
      </w:r>
      <w:proofErr w:type="spellEnd"/>
      <w:r w:rsidRPr="007628A5">
        <w:rPr>
          <w:lang w:val="en-GB"/>
        </w:rPr>
        <w:t xml:space="preserve"> resources.</w:t>
      </w:r>
    </w:p>
    <w:p w14:paraId="3026FD3E" w14:textId="77777777" w:rsidR="008A43AA" w:rsidRDefault="008A43AA" w:rsidP="00F51B9F">
      <w:pPr>
        <w:jc w:val="both"/>
        <w:rPr>
          <w:lang w:val="en-GB"/>
        </w:rPr>
      </w:pPr>
    </w:p>
    <w:p w14:paraId="30C3D4A0" w14:textId="1C6A60E0" w:rsidR="005D220E" w:rsidRDefault="009064D8" w:rsidP="008729FF">
      <w:pPr>
        <w:jc w:val="center"/>
        <w:rPr>
          <w:lang w:val="en-GB"/>
        </w:rPr>
      </w:pPr>
      <w:bookmarkStart w:id="2" w:name="_GoBack"/>
      <w:bookmarkEnd w:id="2"/>
      <w:r>
        <w:rPr>
          <w:noProof/>
        </w:rPr>
        <w:drawing>
          <wp:inline distT="0" distB="0" distL="0" distR="0" wp14:anchorId="75FEDA15" wp14:editId="1E6B5A14">
            <wp:extent cx="2740025" cy="3483704"/>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743760" cy="3488453"/>
                    </a:xfrm>
                    <a:prstGeom prst="rect">
                      <a:avLst/>
                    </a:prstGeom>
                  </pic:spPr>
                </pic:pic>
              </a:graphicData>
            </a:graphic>
          </wp:inline>
        </w:drawing>
      </w: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D1F2BF9" w:rsidR="009064D8" w:rsidRPr="00E73E26" w:rsidRDefault="009064D8" w:rsidP="005D220E">
                            <w:pPr>
                              <w:pStyle w:val="Caption"/>
                              <w:jc w:val="center"/>
                              <w:rPr>
                                <w:noProof/>
                              </w:rPr>
                            </w:pPr>
                            <w:r>
                              <w:t xml:space="preserve">Figure 1: A 2-symbol </w:t>
                            </w:r>
                            <w:proofErr w:type="spellStart"/>
                            <w:r>
                              <w:t>sPUCCH</w:t>
                            </w:r>
                            <w:proofErr w:type="spellEnd"/>
                            <w:r>
                              <w:t xml:space="preserve"> design for large payload sizes, where two interlaces are used over the DMRS and data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B1A382E" id="_x0000_t202" coordsize="21600,21600" o:spt="202" path="m,l,21600r21600,l21600,xe">
                <v:stroke joinstyle="miter"/>
                <v:path gradientshapeok="t" o:connecttype="rect"/>
              </v:shapetype>
              <v:shape id="Text Box 373" o:spid="_x0000_s1026"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" stroked="f">
                <v:textbox style="mso-fit-shape-to-text:t" inset="0,0,0,0">
                  <w:txbxContent>
                    <w:p w14:paraId="6945BDA6" w14:textId="5D1F2BF9" w:rsidR="009064D8" w:rsidRPr="00E73E26" w:rsidRDefault="009064D8" w:rsidP="005D220E">
                      <w:pPr>
                        <w:pStyle w:val="Caption"/>
                        <w:jc w:val="center"/>
                        <w:rPr>
                          <w:noProof/>
                        </w:rPr>
                      </w:pPr>
                      <w:r>
                        <w:t xml:space="preserve">Figure 1: A 2-symbol </w:t>
                      </w:r>
                      <w:proofErr w:type="spellStart"/>
                      <w:r>
                        <w:t>sPUCCH</w:t>
                      </w:r>
                      <w:proofErr w:type="spellEnd"/>
                      <w:r>
                        <w:t xml:space="preserve"> design for large payload sizes, where two interlaces are used over the DMRS and data symbols.</w:t>
                      </w:r>
                    </w:p>
                  </w:txbxContent>
                </v:textbox>
                <w10:wrap anchorx="margin"/>
              </v:shape>
            </w:pict>
          </mc:Fallback>
        </mc:AlternateContent>
      </w:r>
    </w:p>
    <w:p w14:paraId="04DD22DE" w14:textId="761D3BDA" w:rsidR="005D220E" w:rsidRDefault="005D220E" w:rsidP="0082779E">
      <w:pPr>
        <w:jc w:val="both"/>
        <w:rPr>
          <w:lang w:val="en-GB"/>
        </w:rPr>
      </w:pPr>
    </w:p>
    <w:p w14:paraId="324A1DDE" w14:textId="25A15C77" w:rsidR="005D220E" w:rsidRDefault="005D220E" w:rsidP="0082779E">
      <w:pPr>
        <w:jc w:val="both"/>
        <w:rPr>
          <w:lang w:val="en-GB"/>
        </w:rPr>
      </w:pPr>
    </w:p>
    <w:p w14:paraId="09E9C1E7" w14:textId="4A2C7E16" w:rsidR="00AC0709" w:rsidRPr="00AC0709" w:rsidRDefault="00AC0709" w:rsidP="00AC0709">
      <w:pPr>
        <w:jc w:val="both"/>
        <w:rPr>
          <w:lang w:eastAsia="zh-CN"/>
        </w:rPr>
      </w:pPr>
      <w:r>
        <w:rPr>
          <w:lang w:val="en-GB"/>
        </w:rPr>
        <w:t xml:space="preserve">To summarize, </w:t>
      </w:r>
      <w:r w:rsidR="003D30FE">
        <w:rPr>
          <w:lang w:eastAsia="zh-CN"/>
        </w:rPr>
        <w:t>s</w:t>
      </w:r>
      <w:r w:rsidRPr="00AC0709">
        <w:rPr>
          <w:lang w:eastAsia="zh-CN"/>
        </w:rPr>
        <w:t xml:space="preserve">upporting the IFDMA-based </w:t>
      </w:r>
      <w:proofErr w:type="spellStart"/>
      <w:r w:rsidRPr="00AC0709">
        <w:rPr>
          <w:lang w:eastAsia="zh-CN"/>
        </w:rPr>
        <w:t>sPUCCH</w:t>
      </w:r>
      <w:proofErr w:type="spellEnd"/>
      <w:r w:rsidRPr="00AC0709">
        <w:rPr>
          <w:lang w:eastAsia="zh-CN"/>
        </w:rPr>
        <w:t xml:space="preserve"> format is completely justifiable for the following reasons:</w:t>
      </w:r>
    </w:p>
    <w:p w14:paraId="67C076EF" w14:textId="77777777" w:rsidR="00AC0709" w:rsidRPr="00AC0709" w:rsidRDefault="00AC0709" w:rsidP="00AC0709">
      <w:pPr>
        <w:jc w:val="both"/>
        <w:rPr>
          <w:lang w:eastAsia="zh-CN"/>
        </w:rPr>
      </w:pPr>
      <w:r w:rsidRPr="00AC0709">
        <w:rPr>
          <w:lang w:eastAsia="zh-CN"/>
        </w:rPr>
        <w:t xml:space="preserve">1) Adopting an IFDMA based </w:t>
      </w:r>
      <w:proofErr w:type="spellStart"/>
      <w:r w:rsidRPr="00AC0709">
        <w:rPr>
          <w:lang w:eastAsia="zh-CN"/>
        </w:rPr>
        <w:t>sPUCCH</w:t>
      </w:r>
      <w:proofErr w:type="spellEnd"/>
      <w:r w:rsidRPr="00AC0709">
        <w:rPr>
          <w:lang w:eastAsia="zh-CN"/>
        </w:rPr>
        <w:t xml:space="preserve"> allows for gaining from channel frequency diversity. The UL coverage enhancement brought by an IFDMA based design is essential for latency reduction for both </w:t>
      </w:r>
      <w:proofErr w:type="spellStart"/>
      <w:r w:rsidRPr="00AC0709">
        <w:rPr>
          <w:lang w:eastAsia="zh-CN"/>
        </w:rPr>
        <w:t>sTTI</w:t>
      </w:r>
      <w:proofErr w:type="spellEnd"/>
      <w:r w:rsidRPr="00AC0709">
        <w:rPr>
          <w:lang w:eastAsia="zh-CN"/>
        </w:rPr>
        <w:t xml:space="preserve"> and URLLC services. </w:t>
      </w:r>
    </w:p>
    <w:p w14:paraId="3A650E7B" w14:textId="5B726853" w:rsidR="00AC0709" w:rsidRPr="003D30FE" w:rsidRDefault="00AC0709" w:rsidP="003D30FE">
      <w:pPr>
        <w:jc w:val="both"/>
        <w:rPr>
          <w:lang w:eastAsia="zh-CN"/>
        </w:rPr>
      </w:pPr>
      <w:r w:rsidRPr="00AC0709">
        <w:rPr>
          <w:lang w:eastAsia="zh-CN"/>
        </w:rPr>
        <w:t xml:space="preserve">2) The design is similar to that of the </w:t>
      </w:r>
      <w:proofErr w:type="spellStart"/>
      <w:r w:rsidRPr="00AC0709">
        <w:rPr>
          <w:lang w:eastAsia="zh-CN"/>
        </w:rPr>
        <w:t>sPUCCH</w:t>
      </w:r>
      <w:proofErr w:type="spellEnd"/>
      <w:r w:rsidRPr="00AC0709">
        <w:rPr>
          <w:lang w:eastAsia="zh-CN"/>
        </w:rPr>
        <w:t xml:space="preserve"> without IFDMA. The only difference is in symbol-to-RE mapping. Therefore, such a design does not require additional specification effort.</w:t>
      </w:r>
    </w:p>
    <w:p w14:paraId="16DFE0BA" w14:textId="2E31578F" w:rsidR="00BE5A89" w:rsidRPr="003D30FE" w:rsidRDefault="00BE5A89" w:rsidP="002E70EE">
      <w:pPr>
        <w:jc w:val="both"/>
        <w:rPr>
          <w:b/>
          <w:bCs/>
          <w:lang w:val="en-GB"/>
        </w:rPr>
      </w:pPr>
      <w:r w:rsidRPr="008729FF">
        <w:rPr>
          <w:b/>
          <w:lang w:val="en-GB"/>
        </w:rPr>
        <w:t xml:space="preserve">Proposal </w:t>
      </w:r>
      <w:r w:rsidR="002E70EE">
        <w:rPr>
          <w:b/>
          <w:lang w:val="en-GB"/>
        </w:rPr>
        <w:t>3</w:t>
      </w:r>
      <w:r w:rsidRPr="008729FF">
        <w:rPr>
          <w:b/>
          <w:lang w:val="en-GB"/>
        </w:rPr>
        <w:t>:</w:t>
      </w:r>
      <w:r w:rsidR="002E70EE">
        <w:rPr>
          <w:b/>
          <w:lang w:val="en-GB"/>
        </w:rPr>
        <w:t xml:space="preserve"> The support</w:t>
      </w:r>
      <w:r>
        <w:rPr>
          <w:lang w:val="en-GB"/>
        </w:rPr>
        <w:t xml:space="preserve"> </w:t>
      </w:r>
      <w:r w:rsidR="002E70EE">
        <w:rPr>
          <w:b/>
          <w:bCs/>
          <w:lang w:val="en-GB"/>
        </w:rPr>
        <w:t>f</w:t>
      </w:r>
      <w:r w:rsidR="00327C31">
        <w:rPr>
          <w:b/>
          <w:bCs/>
          <w:lang w:val="en-GB"/>
        </w:rPr>
        <w:t xml:space="preserve">or </w:t>
      </w:r>
      <w:r w:rsidR="002E70EE">
        <w:rPr>
          <w:b/>
          <w:bCs/>
          <w:lang w:val="en-GB"/>
        </w:rPr>
        <w:t xml:space="preserve">IFDMA based </w:t>
      </w:r>
      <w:r w:rsidR="00327C31">
        <w:rPr>
          <w:b/>
          <w:bCs/>
          <w:lang w:val="en-GB"/>
        </w:rPr>
        <w:t xml:space="preserve">2/3-symbol </w:t>
      </w:r>
      <w:proofErr w:type="spellStart"/>
      <w:r w:rsidR="00327C31">
        <w:rPr>
          <w:b/>
          <w:bCs/>
          <w:lang w:val="en-GB"/>
        </w:rPr>
        <w:t>sPUCCH</w:t>
      </w:r>
      <w:proofErr w:type="spellEnd"/>
      <w:r w:rsidR="00327C31">
        <w:rPr>
          <w:b/>
          <w:bCs/>
          <w:lang w:val="en-GB"/>
        </w:rPr>
        <w:t xml:space="preserve"> with more than 2 bits</w:t>
      </w:r>
      <w:r w:rsidR="002E70EE">
        <w:rPr>
          <w:b/>
          <w:bCs/>
          <w:lang w:val="en-GB"/>
        </w:rPr>
        <w:t xml:space="preserve"> can be considered.</w:t>
      </w:r>
    </w:p>
    <w:p w14:paraId="7B457508" w14:textId="36319745" w:rsidR="00110FFF" w:rsidRPr="00777DE2" w:rsidRDefault="00110FFF" w:rsidP="00AD3049">
      <w:pPr>
        <w:jc w:val="both"/>
        <w:rPr>
          <w:b/>
          <w:lang w:val="en-GB"/>
        </w:rPr>
      </w:pPr>
    </w:p>
    <w:p w14:paraId="0783E69C" w14:textId="1B5026DC" w:rsidR="008913BC" w:rsidRDefault="008F43E8" w:rsidP="008913BC">
      <w:pPr>
        <w:pStyle w:val="Heading1"/>
        <w:jc w:val="both"/>
      </w:pPr>
      <w:r>
        <w:lastRenderedPageBreak/>
        <w:t>4</w:t>
      </w:r>
      <w:r w:rsidR="008913BC" w:rsidRPr="00CC27F5">
        <w:tab/>
      </w:r>
      <w:r w:rsidR="008913BC">
        <w:t xml:space="preserve">Conclusions </w:t>
      </w:r>
    </w:p>
    <w:p w14:paraId="76CFB90C" w14:textId="77777777" w:rsidR="001E21A1" w:rsidRPr="001E21A1" w:rsidRDefault="001E21A1" w:rsidP="001E21A1">
      <w:pPr>
        <w:tabs>
          <w:tab w:val="num" w:pos="1080"/>
        </w:tabs>
        <w:overflowPunct/>
        <w:autoSpaceDE/>
        <w:autoSpaceDN/>
        <w:adjustRightInd/>
        <w:spacing w:after="0"/>
        <w:jc w:val="both"/>
        <w:textAlignment w:val="auto"/>
        <w:rPr>
          <w:rFonts w:eastAsiaTheme="minorEastAsia"/>
          <w:b/>
          <w:bCs/>
          <w:color w:val="000000" w:themeColor="text1"/>
          <w:lang w:eastAsia="zh-CN"/>
        </w:rPr>
      </w:pPr>
      <w:r w:rsidRPr="001E21A1">
        <w:rPr>
          <w:rFonts w:eastAsiaTheme="minorEastAsia"/>
          <w:b/>
          <w:bCs/>
          <w:color w:val="000000" w:themeColor="text1"/>
          <w:lang w:eastAsia="zh-CN"/>
        </w:rPr>
        <w:t xml:space="preserve">Proposal 1: For 2/3-symbol sequence-based </w:t>
      </w:r>
      <w:proofErr w:type="spellStart"/>
      <w:r w:rsidRPr="001E21A1">
        <w:rPr>
          <w:rFonts w:eastAsiaTheme="minorEastAsia"/>
          <w:b/>
          <w:bCs/>
          <w:color w:val="000000" w:themeColor="text1"/>
          <w:lang w:eastAsia="zh-CN"/>
        </w:rPr>
        <w:t>sPUCCH</w:t>
      </w:r>
      <w:proofErr w:type="spellEnd"/>
      <w:r w:rsidRPr="001E21A1">
        <w:rPr>
          <w:rFonts w:eastAsiaTheme="minorEastAsia"/>
          <w:b/>
          <w:bCs/>
          <w:color w:val="000000" w:themeColor="text1"/>
          <w:lang w:eastAsia="zh-CN"/>
        </w:rPr>
        <w:t>, the PRB index is given by higher layers.</w:t>
      </w:r>
    </w:p>
    <w:p w14:paraId="172D32A3" w14:textId="7B323FAA" w:rsidR="00C50DB9" w:rsidRDefault="00C50DB9" w:rsidP="008F43E8">
      <w:pPr>
        <w:jc w:val="both"/>
        <w:rPr>
          <w:b/>
          <w:lang w:val="en-GB"/>
        </w:rPr>
      </w:pPr>
    </w:p>
    <w:p w14:paraId="34B5A009" w14:textId="77777777" w:rsidR="002E70EE" w:rsidRPr="002E70EE" w:rsidRDefault="002E70EE" w:rsidP="002E70EE">
      <w:pPr>
        <w:tabs>
          <w:tab w:val="num" w:pos="1080"/>
        </w:tabs>
        <w:overflowPunct/>
        <w:autoSpaceDE/>
        <w:autoSpaceDN/>
        <w:adjustRightInd/>
        <w:spacing w:after="0"/>
        <w:jc w:val="both"/>
        <w:textAlignment w:val="auto"/>
        <w:rPr>
          <w:rFonts w:eastAsiaTheme="minorEastAsia"/>
          <w:b/>
          <w:bCs/>
          <w:color w:val="000000" w:themeColor="text1"/>
          <w:lang w:eastAsia="zh-CN"/>
        </w:rPr>
      </w:pPr>
      <w:r w:rsidRPr="002E70EE">
        <w:rPr>
          <w:rFonts w:eastAsiaTheme="minorEastAsia"/>
          <w:b/>
          <w:bCs/>
          <w:color w:val="000000" w:themeColor="text1"/>
          <w:lang w:eastAsia="zh-CN"/>
        </w:rPr>
        <w:t>Proposal 2: Only the cyclic shifts are used to distinguish between the HARQ ACK/NAK.</w:t>
      </w:r>
    </w:p>
    <w:p w14:paraId="51C16068" w14:textId="77777777" w:rsidR="002E70EE" w:rsidRDefault="002E70EE" w:rsidP="008F43E8">
      <w:pPr>
        <w:jc w:val="both"/>
        <w:rPr>
          <w:b/>
          <w:lang w:val="en-GB"/>
        </w:rPr>
      </w:pPr>
    </w:p>
    <w:p w14:paraId="0028ACAE" w14:textId="77777777" w:rsidR="002E70EE" w:rsidRPr="003D30FE" w:rsidRDefault="002E70EE" w:rsidP="002E70EE">
      <w:pPr>
        <w:jc w:val="both"/>
        <w:rPr>
          <w:b/>
          <w:bCs/>
          <w:lang w:val="en-GB"/>
        </w:rPr>
      </w:pPr>
      <w:r w:rsidRPr="008729FF">
        <w:rPr>
          <w:b/>
          <w:lang w:val="en-GB"/>
        </w:rPr>
        <w:t xml:space="preserve">Proposal </w:t>
      </w:r>
      <w:r>
        <w:rPr>
          <w:b/>
          <w:lang w:val="en-GB"/>
        </w:rPr>
        <w:t>3</w:t>
      </w:r>
      <w:r w:rsidRPr="008729FF">
        <w:rPr>
          <w:b/>
          <w:lang w:val="en-GB"/>
        </w:rPr>
        <w:t>:</w:t>
      </w:r>
      <w:r>
        <w:rPr>
          <w:b/>
          <w:lang w:val="en-GB"/>
        </w:rPr>
        <w:t xml:space="preserve"> The support</w:t>
      </w:r>
      <w:r>
        <w:rPr>
          <w:lang w:val="en-GB"/>
        </w:rPr>
        <w:t xml:space="preserve"> </w:t>
      </w:r>
      <w:r>
        <w:rPr>
          <w:b/>
          <w:bCs/>
          <w:lang w:val="en-GB"/>
        </w:rPr>
        <w:t xml:space="preserve">for IFDMA based 2/3-symbol </w:t>
      </w:r>
      <w:proofErr w:type="spellStart"/>
      <w:r>
        <w:rPr>
          <w:b/>
          <w:bCs/>
          <w:lang w:val="en-GB"/>
        </w:rPr>
        <w:t>sPUCCH</w:t>
      </w:r>
      <w:proofErr w:type="spellEnd"/>
      <w:r>
        <w:rPr>
          <w:b/>
          <w:bCs/>
          <w:lang w:val="en-GB"/>
        </w:rPr>
        <w:t xml:space="preserve"> with more than 2 bits can be considered.</w:t>
      </w:r>
    </w:p>
    <w:p w14:paraId="76A4E5DE" w14:textId="77777777" w:rsidR="001E21A1" w:rsidRDefault="001E21A1" w:rsidP="008F43E8">
      <w:pPr>
        <w:jc w:val="both"/>
        <w:rPr>
          <w:b/>
          <w:lang w:val="en-GB"/>
        </w:rPr>
      </w:pPr>
    </w:p>
    <w:p w14:paraId="58CCD622" w14:textId="141CD4CF" w:rsidR="00306439" w:rsidRPr="00482A63" w:rsidRDefault="00306439" w:rsidP="00D242A3">
      <w:pPr>
        <w:jc w:val="both"/>
        <w:rPr>
          <w:sz w:val="10"/>
          <w:szCs w:val="10"/>
          <w:lang w:val="en-GB"/>
        </w:rPr>
      </w:pPr>
    </w:p>
    <w:sectPr w:rsidR="00306439" w:rsidRPr="00482A6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5F242" w14:textId="77777777" w:rsidR="00716FBC" w:rsidRDefault="00716FBC">
      <w:r>
        <w:separator/>
      </w:r>
    </w:p>
  </w:endnote>
  <w:endnote w:type="continuationSeparator" w:id="0">
    <w:p w14:paraId="1E93F1C7" w14:textId="77777777" w:rsidR="00716FBC" w:rsidRDefault="00716FBC">
      <w:r>
        <w:continuationSeparator/>
      </w:r>
    </w:p>
  </w:endnote>
  <w:endnote w:type="continuationNotice" w:id="1">
    <w:p w14:paraId="54A09387" w14:textId="77777777" w:rsidR="00716FBC" w:rsidRDefault="00716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064D8" w:rsidRDefault="009064D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064D8" w:rsidRDefault="009064D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48BB33C" w:rsidR="009064D8" w:rsidRDefault="009064D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873F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73F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A2574" w14:textId="77777777" w:rsidR="00716FBC" w:rsidRDefault="00716FBC">
      <w:r>
        <w:separator/>
      </w:r>
    </w:p>
  </w:footnote>
  <w:footnote w:type="continuationSeparator" w:id="0">
    <w:p w14:paraId="19117D14" w14:textId="77777777" w:rsidR="00716FBC" w:rsidRDefault="00716FBC">
      <w:r>
        <w:continuationSeparator/>
      </w:r>
    </w:p>
  </w:footnote>
  <w:footnote w:type="continuationNotice" w:id="1">
    <w:p w14:paraId="1F139C49" w14:textId="77777777" w:rsidR="00716FBC" w:rsidRDefault="00716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064D8" w:rsidRDefault="009064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75pt;height:15.75pt" o:bullet="t">
        <v:imagedata r:id="rId1" o:title="art1C94"/>
      </v:shape>
    </w:pict>
  </w:numPicBullet>
  <w:abstractNum w:abstractNumId="0"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416D4F"/>
    <w:multiLevelType w:val="hybridMultilevel"/>
    <w:tmpl w:val="79DC5DBC"/>
    <w:lvl w:ilvl="0" w:tplc="5DC48E40">
      <w:start w:val="1"/>
      <w:numFmt w:val="bullet"/>
      <w:lvlText w:val=""/>
      <w:lvlPicBulletId w:val="0"/>
      <w:lvlJc w:val="left"/>
      <w:pPr>
        <w:tabs>
          <w:tab w:val="num" w:pos="720"/>
        </w:tabs>
        <w:ind w:left="720" w:hanging="360"/>
      </w:pPr>
      <w:rPr>
        <w:rFonts w:ascii="Symbol" w:hAnsi="Symbol" w:hint="default"/>
      </w:rPr>
    </w:lvl>
    <w:lvl w:ilvl="1" w:tplc="968E375A" w:tentative="1">
      <w:start w:val="1"/>
      <w:numFmt w:val="bullet"/>
      <w:lvlText w:val=""/>
      <w:lvlPicBulletId w:val="0"/>
      <w:lvlJc w:val="left"/>
      <w:pPr>
        <w:tabs>
          <w:tab w:val="num" w:pos="1440"/>
        </w:tabs>
        <w:ind w:left="1440" w:hanging="360"/>
      </w:pPr>
      <w:rPr>
        <w:rFonts w:ascii="Symbol" w:hAnsi="Symbol" w:hint="default"/>
      </w:rPr>
    </w:lvl>
    <w:lvl w:ilvl="2" w:tplc="D208F5DC" w:tentative="1">
      <w:start w:val="1"/>
      <w:numFmt w:val="bullet"/>
      <w:lvlText w:val=""/>
      <w:lvlPicBulletId w:val="0"/>
      <w:lvlJc w:val="left"/>
      <w:pPr>
        <w:tabs>
          <w:tab w:val="num" w:pos="2160"/>
        </w:tabs>
        <w:ind w:left="2160" w:hanging="360"/>
      </w:pPr>
      <w:rPr>
        <w:rFonts w:ascii="Symbol" w:hAnsi="Symbol" w:hint="default"/>
      </w:rPr>
    </w:lvl>
    <w:lvl w:ilvl="3" w:tplc="80EE949A" w:tentative="1">
      <w:start w:val="1"/>
      <w:numFmt w:val="bullet"/>
      <w:lvlText w:val=""/>
      <w:lvlPicBulletId w:val="0"/>
      <w:lvlJc w:val="left"/>
      <w:pPr>
        <w:tabs>
          <w:tab w:val="num" w:pos="2880"/>
        </w:tabs>
        <w:ind w:left="2880" w:hanging="360"/>
      </w:pPr>
      <w:rPr>
        <w:rFonts w:ascii="Symbol" w:hAnsi="Symbol" w:hint="default"/>
      </w:rPr>
    </w:lvl>
    <w:lvl w:ilvl="4" w:tplc="596625B4" w:tentative="1">
      <w:start w:val="1"/>
      <w:numFmt w:val="bullet"/>
      <w:lvlText w:val=""/>
      <w:lvlPicBulletId w:val="0"/>
      <w:lvlJc w:val="left"/>
      <w:pPr>
        <w:tabs>
          <w:tab w:val="num" w:pos="3600"/>
        </w:tabs>
        <w:ind w:left="3600" w:hanging="360"/>
      </w:pPr>
      <w:rPr>
        <w:rFonts w:ascii="Symbol" w:hAnsi="Symbol" w:hint="default"/>
      </w:rPr>
    </w:lvl>
    <w:lvl w:ilvl="5" w:tplc="AE30F31E" w:tentative="1">
      <w:start w:val="1"/>
      <w:numFmt w:val="bullet"/>
      <w:lvlText w:val=""/>
      <w:lvlPicBulletId w:val="0"/>
      <w:lvlJc w:val="left"/>
      <w:pPr>
        <w:tabs>
          <w:tab w:val="num" w:pos="4320"/>
        </w:tabs>
        <w:ind w:left="4320" w:hanging="360"/>
      </w:pPr>
      <w:rPr>
        <w:rFonts w:ascii="Symbol" w:hAnsi="Symbol" w:hint="default"/>
      </w:rPr>
    </w:lvl>
    <w:lvl w:ilvl="6" w:tplc="66DA4804" w:tentative="1">
      <w:start w:val="1"/>
      <w:numFmt w:val="bullet"/>
      <w:lvlText w:val=""/>
      <w:lvlPicBulletId w:val="0"/>
      <w:lvlJc w:val="left"/>
      <w:pPr>
        <w:tabs>
          <w:tab w:val="num" w:pos="5040"/>
        </w:tabs>
        <w:ind w:left="5040" w:hanging="360"/>
      </w:pPr>
      <w:rPr>
        <w:rFonts w:ascii="Symbol" w:hAnsi="Symbol" w:hint="default"/>
      </w:rPr>
    </w:lvl>
    <w:lvl w:ilvl="7" w:tplc="0EEE2B0C" w:tentative="1">
      <w:start w:val="1"/>
      <w:numFmt w:val="bullet"/>
      <w:lvlText w:val=""/>
      <w:lvlPicBulletId w:val="0"/>
      <w:lvlJc w:val="left"/>
      <w:pPr>
        <w:tabs>
          <w:tab w:val="num" w:pos="5760"/>
        </w:tabs>
        <w:ind w:left="5760" w:hanging="360"/>
      </w:pPr>
      <w:rPr>
        <w:rFonts w:ascii="Symbol" w:hAnsi="Symbol" w:hint="default"/>
      </w:rPr>
    </w:lvl>
    <w:lvl w:ilvl="8" w:tplc="E4E6FD1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D7449B5"/>
    <w:multiLevelType w:val="hybridMultilevel"/>
    <w:tmpl w:val="C3120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EA4F83"/>
    <w:multiLevelType w:val="hybridMultilevel"/>
    <w:tmpl w:val="5874D3EC"/>
    <w:lvl w:ilvl="0" w:tplc="B00C6010">
      <w:start w:val="1"/>
      <w:numFmt w:val="bullet"/>
      <w:lvlText w:val=""/>
      <w:lvlPicBulletId w:val="0"/>
      <w:lvlJc w:val="left"/>
      <w:pPr>
        <w:tabs>
          <w:tab w:val="num" w:pos="720"/>
        </w:tabs>
        <w:ind w:left="720" w:hanging="360"/>
      </w:pPr>
      <w:rPr>
        <w:rFonts w:ascii="Symbol" w:hAnsi="Symbol" w:hint="default"/>
      </w:rPr>
    </w:lvl>
    <w:lvl w:ilvl="1" w:tplc="9BB63754" w:tentative="1">
      <w:start w:val="1"/>
      <w:numFmt w:val="bullet"/>
      <w:lvlText w:val=""/>
      <w:lvlPicBulletId w:val="0"/>
      <w:lvlJc w:val="left"/>
      <w:pPr>
        <w:tabs>
          <w:tab w:val="num" w:pos="1440"/>
        </w:tabs>
        <w:ind w:left="1440" w:hanging="360"/>
      </w:pPr>
      <w:rPr>
        <w:rFonts w:ascii="Symbol" w:hAnsi="Symbol" w:hint="default"/>
      </w:rPr>
    </w:lvl>
    <w:lvl w:ilvl="2" w:tplc="EE585C10" w:tentative="1">
      <w:start w:val="1"/>
      <w:numFmt w:val="bullet"/>
      <w:lvlText w:val=""/>
      <w:lvlPicBulletId w:val="0"/>
      <w:lvlJc w:val="left"/>
      <w:pPr>
        <w:tabs>
          <w:tab w:val="num" w:pos="2160"/>
        </w:tabs>
        <w:ind w:left="2160" w:hanging="360"/>
      </w:pPr>
      <w:rPr>
        <w:rFonts w:ascii="Symbol" w:hAnsi="Symbol" w:hint="default"/>
      </w:rPr>
    </w:lvl>
    <w:lvl w:ilvl="3" w:tplc="491AF9F2" w:tentative="1">
      <w:start w:val="1"/>
      <w:numFmt w:val="bullet"/>
      <w:lvlText w:val=""/>
      <w:lvlPicBulletId w:val="0"/>
      <w:lvlJc w:val="left"/>
      <w:pPr>
        <w:tabs>
          <w:tab w:val="num" w:pos="2880"/>
        </w:tabs>
        <w:ind w:left="2880" w:hanging="360"/>
      </w:pPr>
      <w:rPr>
        <w:rFonts w:ascii="Symbol" w:hAnsi="Symbol" w:hint="default"/>
      </w:rPr>
    </w:lvl>
    <w:lvl w:ilvl="4" w:tplc="5A2CBA9C" w:tentative="1">
      <w:start w:val="1"/>
      <w:numFmt w:val="bullet"/>
      <w:lvlText w:val=""/>
      <w:lvlPicBulletId w:val="0"/>
      <w:lvlJc w:val="left"/>
      <w:pPr>
        <w:tabs>
          <w:tab w:val="num" w:pos="3600"/>
        </w:tabs>
        <w:ind w:left="3600" w:hanging="360"/>
      </w:pPr>
      <w:rPr>
        <w:rFonts w:ascii="Symbol" w:hAnsi="Symbol" w:hint="default"/>
      </w:rPr>
    </w:lvl>
    <w:lvl w:ilvl="5" w:tplc="65C0D7D2" w:tentative="1">
      <w:start w:val="1"/>
      <w:numFmt w:val="bullet"/>
      <w:lvlText w:val=""/>
      <w:lvlPicBulletId w:val="0"/>
      <w:lvlJc w:val="left"/>
      <w:pPr>
        <w:tabs>
          <w:tab w:val="num" w:pos="4320"/>
        </w:tabs>
        <w:ind w:left="4320" w:hanging="360"/>
      </w:pPr>
      <w:rPr>
        <w:rFonts w:ascii="Symbol" w:hAnsi="Symbol" w:hint="default"/>
      </w:rPr>
    </w:lvl>
    <w:lvl w:ilvl="6" w:tplc="4644EE12" w:tentative="1">
      <w:start w:val="1"/>
      <w:numFmt w:val="bullet"/>
      <w:lvlText w:val=""/>
      <w:lvlPicBulletId w:val="0"/>
      <w:lvlJc w:val="left"/>
      <w:pPr>
        <w:tabs>
          <w:tab w:val="num" w:pos="5040"/>
        </w:tabs>
        <w:ind w:left="5040" w:hanging="360"/>
      </w:pPr>
      <w:rPr>
        <w:rFonts w:ascii="Symbol" w:hAnsi="Symbol" w:hint="default"/>
      </w:rPr>
    </w:lvl>
    <w:lvl w:ilvl="7" w:tplc="ED64C102" w:tentative="1">
      <w:start w:val="1"/>
      <w:numFmt w:val="bullet"/>
      <w:lvlText w:val=""/>
      <w:lvlPicBulletId w:val="0"/>
      <w:lvlJc w:val="left"/>
      <w:pPr>
        <w:tabs>
          <w:tab w:val="num" w:pos="5760"/>
        </w:tabs>
        <w:ind w:left="5760" w:hanging="360"/>
      </w:pPr>
      <w:rPr>
        <w:rFonts w:ascii="Symbol" w:hAnsi="Symbol" w:hint="default"/>
      </w:rPr>
    </w:lvl>
    <w:lvl w:ilvl="8" w:tplc="FC6A2EC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DD31D5"/>
    <w:multiLevelType w:val="hybridMultilevel"/>
    <w:tmpl w:val="D624A8EC"/>
    <w:lvl w:ilvl="0" w:tplc="030A143C">
      <w:start w:val="1"/>
      <w:numFmt w:val="bullet"/>
      <w:lvlText w:val=""/>
      <w:lvlPicBulletId w:val="0"/>
      <w:lvlJc w:val="left"/>
      <w:pPr>
        <w:tabs>
          <w:tab w:val="num" w:pos="720"/>
        </w:tabs>
        <w:ind w:left="720" w:hanging="360"/>
      </w:pPr>
      <w:rPr>
        <w:rFonts w:ascii="Symbol" w:hAnsi="Symbol" w:hint="default"/>
      </w:rPr>
    </w:lvl>
    <w:lvl w:ilvl="1" w:tplc="A6685D94" w:tentative="1">
      <w:start w:val="1"/>
      <w:numFmt w:val="bullet"/>
      <w:lvlText w:val=""/>
      <w:lvlPicBulletId w:val="0"/>
      <w:lvlJc w:val="left"/>
      <w:pPr>
        <w:tabs>
          <w:tab w:val="num" w:pos="1440"/>
        </w:tabs>
        <w:ind w:left="1440" w:hanging="360"/>
      </w:pPr>
      <w:rPr>
        <w:rFonts w:ascii="Symbol" w:hAnsi="Symbol" w:hint="default"/>
      </w:rPr>
    </w:lvl>
    <w:lvl w:ilvl="2" w:tplc="7C40140A" w:tentative="1">
      <w:start w:val="1"/>
      <w:numFmt w:val="bullet"/>
      <w:lvlText w:val=""/>
      <w:lvlPicBulletId w:val="0"/>
      <w:lvlJc w:val="left"/>
      <w:pPr>
        <w:tabs>
          <w:tab w:val="num" w:pos="2160"/>
        </w:tabs>
        <w:ind w:left="2160" w:hanging="360"/>
      </w:pPr>
      <w:rPr>
        <w:rFonts w:ascii="Symbol" w:hAnsi="Symbol" w:hint="default"/>
      </w:rPr>
    </w:lvl>
    <w:lvl w:ilvl="3" w:tplc="262CAA62" w:tentative="1">
      <w:start w:val="1"/>
      <w:numFmt w:val="bullet"/>
      <w:lvlText w:val=""/>
      <w:lvlPicBulletId w:val="0"/>
      <w:lvlJc w:val="left"/>
      <w:pPr>
        <w:tabs>
          <w:tab w:val="num" w:pos="2880"/>
        </w:tabs>
        <w:ind w:left="2880" w:hanging="360"/>
      </w:pPr>
      <w:rPr>
        <w:rFonts w:ascii="Symbol" w:hAnsi="Symbol" w:hint="default"/>
      </w:rPr>
    </w:lvl>
    <w:lvl w:ilvl="4" w:tplc="DDC46A52" w:tentative="1">
      <w:start w:val="1"/>
      <w:numFmt w:val="bullet"/>
      <w:lvlText w:val=""/>
      <w:lvlPicBulletId w:val="0"/>
      <w:lvlJc w:val="left"/>
      <w:pPr>
        <w:tabs>
          <w:tab w:val="num" w:pos="3600"/>
        </w:tabs>
        <w:ind w:left="3600" w:hanging="360"/>
      </w:pPr>
      <w:rPr>
        <w:rFonts w:ascii="Symbol" w:hAnsi="Symbol" w:hint="default"/>
      </w:rPr>
    </w:lvl>
    <w:lvl w:ilvl="5" w:tplc="5DFC0FA0" w:tentative="1">
      <w:start w:val="1"/>
      <w:numFmt w:val="bullet"/>
      <w:lvlText w:val=""/>
      <w:lvlPicBulletId w:val="0"/>
      <w:lvlJc w:val="left"/>
      <w:pPr>
        <w:tabs>
          <w:tab w:val="num" w:pos="4320"/>
        </w:tabs>
        <w:ind w:left="4320" w:hanging="360"/>
      </w:pPr>
      <w:rPr>
        <w:rFonts w:ascii="Symbol" w:hAnsi="Symbol" w:hint="default"/>
      </w:rPr>
    </w:lvl>
    <w:lvl w:ilvl="6" w:tplc="AAC6F75A" w:tentative="1">
      <w:start w:val="1"/>
      <w:numFmt w:val="bullet"/>
      <w:lvlText w:val=""/>
      <w:lvlPicBulletId w:val="0"/>
      <w:lvlJc w:val="left"/>
      <w:pPr>
        <w:tabs>
          <w:tab w:val="num" w:pos="5040"/>
        </w:tabs>
        <w:ind w:left="5040" w:hanging="360"/>
      </w:pPr>
      <w:rPr>
        <w:rFonts w:ascii="Symbol" w:hAnsi="Symbol" w:hint="default"/>
      </w:rPr>
    </w:lvl>
    <w:lvl w:ilvl="7" w:tplc="DB444538" w:tentative="1">
      <w:start w:val="1"/>
      <w:numFmt w:val="bullet"/>
      <w:lvlText w:val=""/>
      <w:lvlPicBulletId w:val="0"/>
      <w:lvlJc w:val="left"/>
      <w:pPr>
        <w:tabs>
          <w:tab w:val="num" w:pos="5760"/>
        </w:tabs>
        <w:ind w:left="5760" w:hanging="360"/>
      </w:pPr>
      <w:rPr>
        <w:rFonts w:ascii="Symbol" w:hAnsi="Symbol" w:hint="default"/>
      </w:rPr>
    </w:lvl>
    <w:lvl w:ilvl="8" w:tplc="F2CE733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2D39D0"/>
    <w:multiLevelType w:val="hybridMultilevel"/>
    <w:tmpl w:val="4E441714"/>
    <w:lvl w:ilvl="0" w:tplc="DE7A8C5A">
      <w:start w:val="1"/>
      <w:numFmt w:val="bullet"/>
      <w:lvlText w:val=""/>
      <w:lvlPicBulletId w:val="0"/>
      <w:lvlJc w:val="left"/>
      <w:pPr>
        <w:tabs>
          <w:tab w:val="num" w:pos="720"/>
        </w:tabs>
        <w:ind w:left="720" w:hanging="360"/>
      </w:pPr>
      <w:rPr>
        <w:rFonts w:ascii="Symbol" w:hAnsi="Symbol" w:hint="default"/>
      </w:rPr>
    </w:lvl>
    <w:lvl w:ilvl="1" w:tplc="F0801140" w:tentative="1">
      <w:start w:val="1"/>
      <w:numFmt w:val="bullet"/>
      <w:lvlText w:val=""/>
      <w:lvlPicBulletId w:val="0"/>
      <w:lvlJc w:val="left"/>
      <w:pPr>
        <w:tabs>
          <w:tab w:val="num" w:pos="1440"/>
        </w:tabs>
        <w:ind w:left="1440" w:hanging="360"/>
      </w:pPr>
      <w:rPr>
        <w:rFonts w:ascii="Symbol" w:hAnsi="Symbol" w:hint="default"/>
      </w:rPr>
    </w:lvl>
    <w:lvl w:ilvl="2" w:tplc="2194B54E" w:tentative="1">
      <w:start w:val="1"/>
      <w:numFmt w:val="bullet"/>
      <w:lvlText w:val=""/>
      <w:lvlPicBulletId w:val="0"/>
      <w:lvlJc w:val="left"/>
      <w:pPr>
        <w:tabs>
          <w:tab w:val="num" w:pos="2160"/>
        </w:tabs>
        <w:ind w:left="2160" w:hanging="360"/>
      </w:pPr>
      <w:rPr>
        <w:rFonts w:ascii="Symbol" w:hAnsi="Symbol" w:hint="default"/>
      </w:rPr>
    </w:lvl>
    <w:lvl w:ilvl="3" w:tplc="F3720356" w:tentative="1">
      <w:start w:val="1"/>
      <w:numFmt w:val="bullet"/>
      <w:lvlText w:val=""/>
      <w:lvlPicBulletId w:val="0"/>
      <w:lvlJc w:val="left"/>
      <w:pPr>
        <w:tabs>
          <w:tab w:val="num" w:pos="2880"/>
        </w:tabs>
        <w:ind w:left="2880" w:hanging="360"/>
      </w:pPr>
      <w:rPr>
        <w:rFonts w:ascii="Symbol" w:hAnsi="Symbol" w:hint="default"/>
      </w:rPr>
    </w:lvl>
    <w:lvl w:ilvl="4" w:tplc="3946C3B4" w:tentative="1">
      <w:start w:val="1"/>
      <w:numFmt w:val="bullet"/>
      <w:lvlText w:val=""/>
      <w:lvlPicBulletId w:val="0"/>
      <w:lvlJc w:val="left"/>
      <w:pPr>
        <w:tabs>
          <w:tab w:val="num" w:pos="3600"/>
        </w:tabs>
        <w:ind w:left="3600" w:hanging="360"/>
      </w:pPr>
      <w:rPr>
        <w:rFonts w:ascii="Symbol" w:hAnsi="Symbol" w:hint="default"/>
      </w:rPr>
    </w:lvl>
    <w:lvl w:ilvl="5" w:tplc="8CAE6DB6" w:tentative="1">
      <w:start w:val="1"/>
      <w:numFmt w:val="bullet"/>
      <w:lvlText w:val=""/>
      <w:lvlPicBulletId w:val="0"/>
      <w:lvlJc w:val="left"/>
      <w:pPr>
        <w:tabs>
          <w:tab w:val="num" w:pos="4320"/>
        </w:tabs>
        <w:ind w:left="4320" w:hanging="360"/>
      </w:pPr>
      <w:rPr>
        <w:rFonts w:ascii="Symbol" w:hAnsi="Symbol" w:hint="default"/>
      </w:rPr>
    </w:lvl>
    <w:lvl w:ilvl="6" w:tplc="48208368" w:tentative="1">
      <w:start w:val="1"/>
      <w:numFmt w:val="bullet"/>
      <w:lvlText w:val=""/>
      <w:lvlPicBulletId w:val="0"/>
      <w:lvlJc w:val="left"/>
      <w:pPr>
        <w:tabs>
          <w:tab w:val="num" w:pos="5040"/>
        </w:tabs>
        <w:ind w:left="5040" w:hanging="360"/>
      </w:pPr>
      <w:rPr>
        <w:rFonts w:ascii="Symbol" w:hAnsi="Symbol" w:hint="default"/>
      </w:rPr>
    </w:lvl>
    <w:lvl w:ilvl="7" w:tplc="B9F20B62" w:tentative="1">
      <w:start w:val="1"/>
      <w:numFmt w:val="bullet"/>
      <w:lvlText w:val=""/>
      <w:lvlPicBulletId w:val="0"/>
      <w:lvlJc w:val="left"/>
      <w:pPr>
        <w:tabs>
          <w:tab w:val="num" w:pos="5760"/>
        </w:tabs>
        <w:ind w:left="5760" w:hanging="360"/>
      </w:pPr>
      <w:rPr>
        <w:rFonts w:ascii="Symbol" w:hAnsi="Symbol" w:hint="default"/>
      </w:rPr>
    </w:lvl>
    <w:lvl w:ilvl="8" w:tplc="2B24671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413FBA"/>
    <w:multiLevelType w:val="hybridMultilevel"/>
    <w:tmpl w:val="BE204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22"/>
  </w:num>
  <w:num w:numId="4">
    <w:abstractNumId w:val="13"/>
  </w:num>
  <w:num w:numId="5">
    <w:abstractNumId w:val="6"/>
  </w:num>
  <w:num w:numId="6">
    <w:abstractNumId w:val="10"/>
  </w:num>
  <w:num w:numId="7">
    <w:abstractNumId w:val="21"/>
  </w:num>
  <w:num w:numId="8">
    <w:abstractNumId w:val="9"/>
  </w:num>
  <w:num w:numId="9">
    <w:abstractNumId w:val="20"/>
  </w:num>
  <w:num w:numId="10">
    <w:abstractNumId w:val="15"/>
  </w:num>
  <w:num w:numId="11">
    <w:abstractNumId w:val="12"/>
  </w:num>
  <w:num w:numId="12">
    <w:abstractNumId w:val="18"/>
  </w:num>
  <w:num w:numId="13">
    <w:abstractNumId w:val="5"/>
  </w:num>
  <w:num w:numId="14">
    <w:abstractNumId w:val="8"/>
  </w:num>
  <w:num w:numId="15">
    <w:abstractNumId w:val="17"/>
  </w:num>
  <w:num w:numId="16">
    <w:abstractNumId w:val="2"/>
  </w:num>
  <w:num w:numId="17">
    <w:abstractNumId w:val="0"/>
  </w:num>
  <w:num w:numId="18">
    <w:abstractNumId w:val="4"/>
  </w:num>
  <w:num w:numId="19">
    <w:abstractNumId w:val="1"/>
  </w:num>
  <w:num w:numId="20">
    <w:abstractNumId w:val="19"/>
  </w:num>
  <w:num w:numId="21">
    <w:abstractNumId w:val="3"/>
  </w:num>
  <w:num w:numId="22">
    <w:abstractNumId w:val="14"/>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09E4"/>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1B2"/>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65EB"/>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1DE"/>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DF2"/>
    <w:rsid w:val="001D6EEB"/>
    <w:rsid w:val="001D6F30"/>
    <w:rsid w:val="001D7260"/>
    <w:rsid w:val="001D7816"/>
    <w:rsid w:val="001D784C"/>
    <w:rsid w:val="001D7B96"/>
    <w:rsid w:val="001E216A"/>
    <w:rsid w:val="001E21A1"/>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8B0"/>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188"/>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7C7"/>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069F"/>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68FC"/>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2C8B"/>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0EE"/>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27C31"/>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96"/>
    <w:rsid w:val="003848D9"/>
    <w:rsid w:val="003858DF"/>
    <w:rsid w:val="00385DBB"/>
    <w:rsid w:val="00386785"/>
    <w:rsid w:val="00386B71"/>
    <w:rsid w:val="003871D9"/>
    <w:rsid w:val="003873F7"/>
    <w:rsid w:val="00387771"/>
    <w:rsid w:val="00387B4D"/>
    <w:rsid w:val="003908C2"/>
    <w:rsid w:val="0039178D"/>
    <w:rsid w:val="00392C0A"/>
    <w:rsid w:val="00393343"/>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0FE"/>
    <w:rsid w:val="003D31A3"/>
    <w:rsid w:val="003D3A46"/>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2BAA"/>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A63"/>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580"/>
    <w:rsid w:val="00491EEE"/>
    <w:rsid w:val="004924E5"/>
    <w:rsid w:val="00493063"/>
    <w:rsid w:val="00493A0E"/>
    <w:rsid w:val="00493D08"/>
    <w:rsid w:val="004943E3"/>
    <w:rsid w:val="004945CB"/>
    <w:rsid w:val="00495AA2"/>
    <w:rsid w:val="00495AA7"/>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54F"/>
    <w:rsid w:val="004B2B31"/>
    <w:rsid w:val="004B3C3F"/>
    <w:rsid w:val="004B3CE9"/>
    <w:rsid w:val="004B4D0A"/>
    <w:rsid w:val="004B566D"/>
    <w:rsid w:val="004B5C0C"/>
    <w:rsid w:val="004B6301"/>
    <w:rsid w:val="004B71E9"/>
    <w:rsid w:val="004B7756"/>
    <w:rsid w:val="004C0346"/>
    <w:rsid w:val="004C0B5B"/>
    <w:rsid w:val="004C0F99"/>
    <w:rsid w:val="004C130D"/>
    <w:rsid w:val="004C1E76"/>
    <w:rsid w:val="004C20B1"/>
    <w:rsid w:val="004C2D37"/>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035"/>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27F1E"/>
    <w:rsid w:val="00530BD5"/>
    <w:rsid w:val="00531307"/>
    <w:rsid w:val="0053173A"/>
    <w:rsid w:val="00531824"/>
    <w:rsid w:val="00532462"/>
    <w:rsid w:val="00532976"/>
    <w:rsid w:val="00533215"/>
    <w:rsid w:val="005339D2"/>
    <w:rsid w:val="0053437E"/>
    <w:rsid w:val="005349EB"/>
    <w:rsid w:val="00534D96"/>
    <w:rsid w:val="0053542C"/>
    <w:rsid w:val="0053572F"/>
    <w:rsid w:val="0053701E"/>
    <w:rsid w:val="00537165"/>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07A6"/>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A8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EB2"/>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E52"/>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102"/>
    <w:rsid w:val="00677E8D"/>
    <w:rsid w:val="00680A97"/>
    <w:rsid w:val="00680C3F"/>
    <w:rsid w:val="0068102D"/>
    <w:rsid w:val="00681803"/>
    <w:rsid w:val="0068193D"/>
    <w:rsid w:val="0068226B"/>
    <w:rsid w:val="00682ED3"/>
    <w:rsid w:val="0068370B"/>
    <w:rsid w:val="00683BAE"/>
    <w:rsid w:val="00684BDE"/>
    <w:rsid w:val="00684FBD"/>
    <w:rsid w:val="006853BA"/>
    <w:rsid w:val="00685535"/>
    <w:rsid w:val="00685D3B"/>
    <w:rsid w:val="00687817"/>
    <w:rsid w:val="0069008A"/>
    <w:rsid w:val="00690881"/>
    <w:rsid w:val="00692799"/>
    <w:rsid w:val="00692A0D"/>
    <w:rsid w:val="00693077"/>
    <w:rsid w:val="00693295"/>
    <w:rsid w:val="006936BD"/>
    <w:rsid w:val="0069447C"/>
    <w:rsid w:val="006954BB"/>
    <w:rsid w:val="006965B9"/>
    <w:rsid w:val="006979CD"/>
    <w:rsid w:val="00697FE2"/>
    <w:rsid w:val="006A0B49"/>
    <w:rsid w:val="006A1313"/>
    <w:rsid w:val="006A2347"/>
    <w:rsid w:val="006A24B3"/>
    <w:rsid w:val="006A2890"/>
    <w:rsid w:val="006A2A3D"/>
    <w:rsid w:val="006A40F0"/>
    <w:rsid w:val="006A46C7"/>
    <w:rsid w:val="006A49B5"/>
    <w:rsid w:val="006A5A36"/>
    <w:rsid w:val="006A5A82"/>
    <w:rsid w:val="006A5AF8"/>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6FBC"/>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8A5"/>
    <w:rsid w:val="00762924"/>
    <w:rsid w:val="00762D30"/>
    <w:rsid w:val="00763339"/>
    <w:rsid w:val="00763355"/>
    <w:rsid w:val="00763522"/>
    <w:rsid w:val="00763FE8"/>
    <w:rsid w:val="00764E1D"/>
    <w:rsid w:val="00765327"/>
    <w:rsid w:val="007661E2"/>
    <w:rsid w:val="007666E6"/>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DE2"/>
    <w:rsid w:val="00777EE9"/>
    <w:rsid w:val="00780732"/>
    <w:rsid w:val="0078076F"/>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616"/>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CFC"/>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6F1F"/>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C28"/>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29FF"/>
    <w:rsid w:val="008732CB"/>
    <w:rsid w:val="008734E7"/>
    <w:rsid w:val="0087404E"/>
    <w:rsid w:val="008744DD"/>
    <w:rsid w:val="00874C48"/>
    <w:rsid w:val="0087504C"/>
    <w:rsid w:val="008751A1"/>
    <w:rsid w:val="00875394"/>
    <w:rsid w:val="00875905"/>
    <w:rsid w:val="00876B38"/>
    <w:rsid w:val="00876C1A"/>
    <w:rsid w:val="00877149"/>
    <w:rsid w:val="00877FA3"/>
    <w:rsid w:val="0088068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3BC"/>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3AA"/>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3CE"/>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3E8"/>
    <w:rsid w:val="008F4807"/>
    <w:rsid w:val="008F4BFE"/>
    <w:rsid w:val="008F4F27"/>
    <w:rsid w:val="008F50ED"/>
    <w:rsid w:val="008F56B5"/>
    <w:rsid w:val="008F595E"/>
    <w:rsid w:val="008F7779"/>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4D8"/>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384C"/>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042"/>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67D73"/>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047A"/>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9B0"/>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281"/>
    <w:rsid w:val="009A253A"/>
    <w:rsid w:val="009A2968"/>
    <w:rsid w:val="009A2C97"/>
    <w:rsid w:val="009A3059"/>
    <w:rsid w:val="009A3DBF"/>
    <w:rsid w:val="009A43FF"/>
    <w:rsid w:val="009A637B"/>
    <w:rsid w:val="009A67CD"/>
    <w:rsid w:val="009A788B"/>
    <w:rsid w:val="009A7E1C"/>
    <w:rsid w:val="009B003C"/>
    <w:rsid w:val="009B0DFC"/>
    <w:rsid w:val="009B21AB"/>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A"/>
    <w:rsid w:val="009E0DE1"/>
    <w:rsid w:val="009E1726"/>
    <w:rsid w:val="009E1F70"/>
    <w:rsid w:val="009E2F97"/>
    <w:rsid w:val="009E3790"/>
    <w:rsid w:val="009E3809"/>
    <w:rsid w:val="009E3B5F"/>
    <w:rsid w:val="009E3C3E"/>
    <w:rsid w:val="009E424B"/>
    <w:rsid w:val="009E457F"/>
    <w:rsid w:val="009E4811"/>
    <w:rsid w:val="009E58D4"/>
    <w:rsid w:val="009E5912"/>
    <w:rsid w:val="009E59CC"/>
    <w:rsid w:val="009E59E8"/>
    <w:rsid w:val="009E6928"/>
    <w:rsid w:val="009E732A"/>
    <w:rsid w:val="009E73D9"/>
    <w:rsid w:val="009F075A"/>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808"/>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5F4"/>
    <w:rsid w:val="00A11ACA"/>
    <w:rsid w:val="00A11E0F"/>
    <w:rsid w:val="00A12206"/>
    <w:rsid w:val="00A125BD"/>
    <w:rsid w:val="00A12BEE"/>
    <w:rsid w:val="00A13155"/>
    <w:rsid w:val="00A13715"/>
    <w:rsid w:val="00A13A3E"/>
    <w:rsid w:val="00A13DDA"/>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46F"/>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2DE9"/>
    <w:rsid w:val="00A7337F"/>
    <w:rsid w:val="00A7469D"/>
    <w:rsid w:val="00A74E04"/>
    <w:rsid w:val="00A74F6C"/>
    <w:rsid w:val="00A750D3"/>
    <w:rsid w:val="00A75212"/>
    <w:rsid w:val="00A75743"/>
    <w:rsid w:val="00A75E7E"/>
    <w:rsid w:val="00A760AD"/>
    <w:rsid w:val="00A7634B"/>
    <w:rsid w:val="00A7647C"/>
    <w:rsid w:val="00A76A52"/>
    <w:rsid w:val="00A76BA5"/>
    <w:rsid w:val="00A7706B"/>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709"/>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0B8A"/>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6A6E"/>
    <w:rsid w:val="00B07988"/>
    <w:rsid w:val="00B07EDA"/>
    <w:rsid w:val="00B102E3"/>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69C0"/>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C9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0CF"/>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5969"/>
    <w:rsid w:val="00BE5A89"/>
    <w:rsid w:val="00BE65B3"/>
    <w:rsid w:val="00BE67F0"/>
    <w:rsid w:val="00BE69FE"/>
    <w:rsid w:val="00BE742D"/>
    <w:rsid w:val="00BF0ACA"/>
    <w:rsid w:val="00BF0FD5"/>
    <w:rsid w:val="00BF10D2"/>
    <w:rsid w:val="00BF116C"/>
    <w:rsid w:val="00BF120B"/>
    <w:rsid w:val="00BF127A"/>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2E1"/>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0DB9"/>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63"/>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23A"/>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2A3"/>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0C2"/>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211"/>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1BFF"/>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202"/>
    <w:rsid w:val="00EA2730"/>
    <w:rsid w:val="00EA42BA"/>
    <w:rsid w:val="00EA4F96"/>
    <w:rsid w:val="00EA531A"/>
    <w:rsid w:val="00EA589B"/>
    <w:rsid w:val="00EA5F29"/>
    <w:rsid w:val="00EA738B"/>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B9B"/>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3AD9"/>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368"/>
    <w:rsid w:val="00FC1530"/>
    <w:rsid w:val="00FC1859"/>
    <w:rsid w:val="00FC2100"/>
    <w:rsid w:val="00FC2742"/>
    <w:rsid w:val="00FC2D17"/>
    <w:rsid w:val="00FC35B0"/>
    <w:rsid w:val="00FC3BBC"/>
    <w:rsid w:val="00FC3EEB"/>
    <w:rsid w:val="00FC406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LChar">
    <w:name w:val="TAL Char"/>
    <w:link w:val="TAL"/>
    <w:locked/>
    <w:rsid w:val="00854C28"/>
    <w:rPr>
      <w:rFonts w:ascii="Arial" w:hAnsi="Arial"/>
      <w:sz w:val="18"/>
      <w:lang w:eastAsia="en-US"/>
    </w:rPr>
  </w:style>
  <w:style w:type="character" w:customStyle="1" w:styleId="TAHCar">
    <w:name w:val="TAH Car"/>
    <w:link w:val="TAH"/>
    <w:locked/>
    <w:rsid w:val="00854C2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5518361">
      <w:bodyDiv w:val="1"/>
      <w:marLeft w:val="0"/>
      <w:marRight w:val="0"/>
      <w:marTop w:val="0"/>
      <w:marBottom w:val="0"/>
      <w:divBdr>
        <w:top w:val="none" w:sz="0" w:space="0" w:color="auto"/>
        <w:left w:val="none" w:sz="0" w:space="0" w:color="auto"/>
        <w:bottom w:val="none" w:sz="0" w:space="0" w:color="auto"/>
        <w:right w:val="none" w:sz="0" w:space="0" w:color="auto"/>
      </w:divBdr>
      <w:divsChild>
        <w:div w:id="1196382614">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49798242">
      <w:bodyDiv w:val="1"/>
      <w:marLeft w:val="0"/>
      <w:marRight w:val="0"/>
      <w:marTop w:val="0"/>
      <w:marBottom w:val="0"/>
      <w:divBdr>
        <w:top w:val="none" w:sz="0" w:space="0" w:color="auto"/>
        <w:left w:val="none" w:sz="0" w:space="0" w:color="auto"/>
        <w:bottom w:val="none" w:sz="0" w:space="0" w:color="auto"/>
        <w:right w:val="none" w:sz="0" w:space="0" w:color="auto"/>
      </w:divBdr>
      <w:divsChild>
        <w:div w:id="1830712783">
          <w:marLeft w:val="547"/>
          <w:marRight w:val="0"/>
          <w:marTop w:val="115"/>
          <w:marBottom w:val="0"/>
          <w:divBdr>
            <w:top w:val="none" w:sz="0" w:space="0" w:color="auto"/>
            <w:left w:val="none" w:sz="0" w:space="0" w:color="auto"/>
            <w:bottom w:val="none" w:sz="0" w:space="0" w:color="auto"/>
            <w:right w:val="none" w:sz="0" w:space="0" w:color="auto"/>
          </w:divBdr>
        </w:div>
        <w:div w:id="115561868">
          <w:marLeft w:val="547"/>
          <w:marRight w:val="0"/>
          <w:marTop w:val="115"/>
          <w:marBottom w:val="0"/>
          <w:divBdr>
            <w:top w:val="none" w:sz="0" w:space="0" w:color="auto"/>
            <w:left w:val="none" w:sz="0" w:space="0" w:color="auto"/>
            <w:bottom w:val="none" w:sz="0" w:space="0" w:color="auto"/>
            <w:right w:val="none" w:sz="0" w:space="0" w:color="auto"/>
          </w:divBdr>
        </w:div>
        <w:div w:id="519706270">
          <w:marLeft w:val="547"/>
          <w:marRight w:val="0"/>
          <w:marTop w:val="115"/>
          <w:marBottom w:val="0"/>
          <w:divBdr>
            <w:top w:val="none" w:sz="0" w:space="0" w:color="auto"/>
            <w:left w:val="none" w:sz="0" w:space="0" w:color="auto"/>
            <w:bottom w:val="none" w:sz="0" w:space="0" w:color="auto"/>
            <w:right w:val="none" w:sz="0" w:space="0" w:color="auto"/>
          </w:divBdr>
        </w:div>
        <w:div w:id="361902331">
          <w:marLeft w:val="547"/>
          <w:marRight w:val="0"/>
          <w:marTop w:val="115"/>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308714">
      <w:bodyDiv w:val="1"/>
      <w:marLeft w:val="0"/>
      <w:marRight w:val="0"/>
      <w:marTop w:val="0"/>
      <w:marBottom w:val="0"/>
      <w:divBdr>
        <w:top w:val="none" w:sz="0" w:space="0" w:color="auto"/>
        <w:left w:val="none" w:sz="0" w:space="0" w:color="auto"/>
        <w:bottom w:val="none" w:sz="0" w:space="0" w:color="auto"/>
        <w:right w:val="none" w:sz="0" w:space="0" w:color="auto"/>
      </w:divBdr>
      <w:divsChild>
        <w:div w:id="287784578">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0887">
      <w:bodyDiv w:val="1"/>
      <w:marLeft w:val="0"/>
      <w:marRight w:val="0"/>
      <w:marTop w:val="0"/>
      <w:marBottom w:val="0"/>
      <w:divBdr>
        <w:top w:val="none" w:sz="0" w:space="0" w:color="auto"/>
        <w:left w:val="none" w:sz="0" w:space="0" w:color="auto"/>
        <w:bottom w:val="none" w:sz="0" w:space="0" w:color="auto"/>
        <w:right w:val="none" w:sz="0" w:space="0" w:color="auto"/>
      </w:divBdr>
      <w:divsChild>
        <w:div w:id="793837937">
          <w:marLeft w:val="1627"/>
          <w:marRight w:val="0"/>
          <w:marTop w:val="86"/>
          <w:marBottom w:val="0"/>
          <w:divBdr>
            <w:top w:val="none" w:sz="0" w:space="0" w:color="auto"/>
            <w:left w:val="none" w:sz="0" w:space="0" w:color="auto"/>
            <w:bottom w:val="none" w:sz="0" w:space="0" w:color="auto"/>
            <w:right w:val="none" w:sz="0" w:space="0" w:color="auto"/>
          </w:divBdr>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192432">
      <w:bodyDiv w:val="1"/>
      <w:marLeft w:val="0"/>
      <w:marRight w:val="0"/>
      <w:marTop w:val="0"/>
      <w:marBottom w:val="0"/>
      <w:divBdr>
        <w:top w:val="none" w:sz="0" w:space="0" w:color="auto"/>
        <w:left w:val="none" w:sz="0" w:space="0" w:color="auto"/>
        <w:bottom w:val="none" w:sz="0" w:space="0" w:color="auto"/>
        <w:right w:val="none" w:sz="0" w:space="0" w:color="auto"/>
      </w:divBdr>
      <w:divsChild>
        <w:div w:id="1862695483">
          <w:marLeft w:val="1627"/>
          <w:marRight w:val="0"/>
          <w:marTop w:val="86"/>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09133">
      <w:bodyDiv w:val="1"/>
      <w:marLeft w:val="0"/>
      <w:marRight w:val="0"/>
      <w:marTop w:val="0"/>
      <w:marBottom w:val="0"/>
      <w:divBdr>
        <w:top w:val="none" w:sz="0" w:space="0" w:color="auto"/>
        <w:left w:val="none" w:sz="0" w:space="0" w:color="auto"/>
        <w:bottom w:val="none" w:sz="0" w:space="0" w:color="auto"/>
        <w:right w:val="none" w:sz="0" w:space="0" w:color="auto"/>
      </w:divBdr>
      <w:divsChild>
        <w:div w:id="2078428615">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HR33RHYHUWRF-4-1714</_dlc_DocId>
    <_dlc_DocIdUrl xmlns="c06861ca-3f08-4d07-bff7-bb15bac121f4">
      <Url>https://projects.qualcomm.com/sites/pentari/_layouts/15/DocIdRedir.aspx?ID=HR33RHYHUWRF-4-1714</Url>
      <Description>HR33RHYHUWRF-4-1714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6B6B35EF-362B-4053-9B73-664647F7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D7D1645D-A406-4E98-8C1E-C06D7099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5</cp:revision>
  <cp:lastPrinted>2016-10-06T20:33:00Z</cp:lastPrinted>
  <dcterms:created xsi:type="dcterms:W3CDTF">2017-11-16T07:01:00Z</dcterms:created>
  <dcterms:modified xsi:type="dcterms:W3CDTF">2017-11-18T02:49:00Z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5d1ff845-b55b-4704-b8e0-df966ac94add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